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F82" w14:textId="77777777" w:rsidR="00155055" w:rsidRDefault="00155055" w:rsidP="00155055">
      <w:pPr>
        <w:rPr>
          <w:sz w:val="22"/>
          <w:szCs w:val="22"/>
        </w:rPr>
      </w:pPr>
    </w:p>
    <w:p w14:paraId="353E68F7" w14:textId="77777777" w:rsidR="00155055" w:rsidRDefault="00155055" w:rsidP="00155055">
      <w:pPr>
        <w:rPr>
          <w:sz w:val="22"/>
          <w:szCs w:val="22"/>
        </w:rPr>
      </w:pPr>
    </w:p>
    <w:p w14:paraId="364DA44C" w14:textId="77777777" w:rsidR="00155055" w:rsidRDefault="00155055" w:rsidP="00155055">
      <w:pPr>
        <w:rPr>
          <w:sz w:val="22"/>
          <w:szCs w:val="22"/>
        </w:rPr>
      </w:pPr>
    </w:p>
    <w:p w14:paraId="5BA4C5E8" w14:textId="77777777" w:rsidR="00155055" w:rsidRDefault="00155055" w:rsidP="00155055">
      <w:pPr>
        <w:rPr>
          <w:sz w:val="22"/>
          <w:szCs w:val="22"/>
        </w:rPr>
      </w:pPr>
    </w:p>
    <w:p w14:paraId="5B494E5D" w14:textId="77777777" w:rsidR="00155055" w:rsidRDefault="00155055" w:rsidP="00155055">
      <w:pPr>
        <w:rPr>
          <w:sz w:val="22"/>
          <w:szCs w:val="22"/>
        </w:rPr>
      </w:pPr>
    </w:p>
    <w:p w14:paraId="26503402" w14:textId="77777777" w:rsidR="00155055" w:rsidRDefault="00155055" w:rsidP="00155055">
      <w:pPr>
        <w:pStyle w:val="Title"/>
        <w:spacing w:after="0"/>
      </w:pPr>
      <w:r>
        <w:t xml:space="preserve">Minutes of the Audit and Risk </w:t>
      </w:r>
    </w:p>
    <w:p w14:paraId="6DE7EB9E" w14:textId="77777777" w:rsidR="00155055" w:rsidRDefault="00155055" w:rsidP="00155055">
      <w:pPr>
        <w:pStyle w:val="Title"/>
        <w:spacing w:after="0"/>
      </w:pPr>
      <w:r>
        <w:t>Assurance (ARAC) meeting</w:t>
      </w:r>
    </w:p>
    <w:p w14:paraId="754703C2" w14:textId="77777777" w:rsidR="00155055" w:rsidRDefault="00155055" w:rsidP="00155055">
      <w:pPr>
        <w:pStyle w:val="Header"/>
        <w:tabs>
          <w:tab w:val="left" w:pos="720"/>
        </w:tabs>
        <w:rPr>
          <w:sz w:val="16"/>
        </w:rPr>
      </w:pPr>
    </w:p>
    <w:p w14:paraId="406810F4" w14:textId="77777777" w:rsidR="00155055" w:rsidRDefault="00155055" w:rsidP="00155055">
      <w:pPr>
        <w:tabs>
          <w:tab w:val="left" w:pos="993"/>
        </w:tabs>
        <w:rPr>
          <w:b/>
          <w:bCs/>
          <w:szCs w:val="20"/>
        </w:rPr>
      </w:pPr>
      <w:r>
        <w:rPr>
          <w:b/>
          <w:bCs/>
          <w:szCs w:val="20"/>
        </w:rPr>
        <w:t>Date:</w:t>
      </w:r>
      <w:r>
        <w:rPr>
          <w:b/>
          <w:bCs/>
          <w:szCs w:val="20"/>
        </w:rPr>
        <w:tab/>
      </w:r>
      <w:r>
        <w:rPr>
          <w:szCs w:val="20"/>
        </w:rPr>
        <w:t>8 June 2023</w:t>
      </w:r>
      <w:r>
        <w:rPr>
          <w:szCs w:val="20"/>
        </w:rPr>
        <w:br/>
      </w:r>
    </w:p>
    <w:p w14:paraId="735F34A2" w14:textId="77777777" w:rsidR="00155055" w:rsidRDefault="00155055" w:rsidP="00155055">
      <w:pPr>
        <w:tabs>
          <w:tab w:val="left" w:pos="993"/>
        </w:tabs>
        <w:rPr>
          <w:szCs w:val="20"/>
        </w:rPr>
      </w:pPr>
      <w:r>
        <w:rPr>
          <w:b/>
          <w:bCs/>
          <w:szCs w:val="20"/>
        </w:rPr>
        <w:t>Time:</w:t>
      </w:r>
      <w:r>
        <w:rPr>
          <w:b/>
          <w:bCs/>
          <w:szCs w:val="20"/>
        </w:rPr>
        <w:tab/>
      </w:r>
      <w:r>
        <w:rPr>
          <w:szCs w:val="20"/>
        </w:rPr>
        <w:t>13:30-15:30</w:t>
      </w:r>
    </w:p>
    <w:p w14:paraId="26731C72" w14:textId="77777777" w:rsidR="00155055" w:rsidRDefault="00155055" w:rsidP="00155055">
      <w:pPr>
        <w:tabs>
          <w:tab w:val="left" w:pos="993"/>
        </w:tabs>
        <w:rPr>
          <w:szCs w:val="20"/>
        </w:rPr>
      </w:pPr>
      <w:r>
        <w:rPr>
          <w:b/>
          <w:bCs/>
          <w:szCs w:val="20"/>
        </w:rPr>
        <w:br/>
        <w:t>Venue:</w:t>
      </w:r>
      <w:r>
        <w:rPr>
          <w:b/>
          <w:bCs/>
          <w:szCs w:val="20"/>
        </w:rPr>
        <w:tab/>
      </w:r>
      <w:r>
        <w:rPr>
          <w:szCs w:val="20"/>
        </w:rPr>
        <w:t>2 Redman Place</w:t>
      </w:r>
    </w:p>
    <w:p w14:paraId="291702FA" w14:textId="77777777" w:rsidR="00155055" w:rsidRDefault="00155055" w:rsidP="00155055">
      <w:pPr>
        <w:rPr>
          <w:szCs w:val="20"/>
        </w:rPr>
      </w:pPr>
    </w:p>
    <w:p w14:paraId="72DA082F" w14:textId="77777777" w:rsidR="00155055" w:rsidRDefault="00155055" w:rsidP="00155055">
      <w:pPr>
        <w:tabs>
          <w:tab w:val="left" w:pos="2694"/>
        </w:tabs>
        <w:rPr>
          <w:szCs w:val="20"/>
        </w:rPr>
      </w:pPr>
      <w:r>
        <w:rPr>
          <w:b/>
          <w:szCs w:val="20"/>
        </w:rPr>
        <w:t xml:space="preserve">Protective Marking:  </w:t>
      </w:r>
      <w:r>
        <w:t xml:space="preserve"> DRAFT</w:t>
      </w:r>
    </w:p>
    <w:p w14:paraId="3178EB56" w14:textId="77777777" w:rsidR="00155055" w:rsidRDefault="00155055" w:rsidP="00155055"/>
    <w:p w14:paraId="06E90A41" w14:textId="77777777" w:rsidR="00155055" w:rsidRDefault="00BE3D37" w:rsidP="00155055">
      <w:pPr>
        <w:jc w:val="center"/>
      </w:pPr>
      <w:r>
        <w:rPr>
          <w:color w:val="2B579A"/>
          <w:shd w:val="clear" w:color="auto" w:fill="E6E6E6"/>
        </w:rPr>
        <w:pict w14:anchorId="6DC48BAC">
          <v:rect id="_x0000_i1025" style="width:445.1pt;height:.6pt" o:hralign="center" o:hrstd="t" o:hrnoshade="t" o:hr="t" fillcolor="#4e1964" stroked="f"/>
        </w:pict>
      </w:r>
    </w:p>
    <w:p w14:paraId="353B0215" w14:textId="77777777" w:rsidR="00155055" w:rsidRDefault="00155055" w:rsidP="00155055">
      <w:pPr>
        <w:pStyle w:val="Subheading"/>
      </w:pPr>
      <w:r>
        <w:br/>
        <w:t>Attendees:</w:t>
      </w:r>
    </w:p>
    <w:p w14:paraId="33CBA863" w14:textId="77777777" w:rsidR="00155055" w:rsidRDefault="00155055" w:rsidP="00155055">
      <w:pPr>
        <w:rPr>
          <w:b/>
          <w:sz w:val="32"/>
        </w:rPr>
        <w:sectPr w:rsidR="00155055">
          <w:footerReference w:type="default" r:id="rId12"/>
          <w:pgSz w:w="11907" w:h="16840"/>
          <w:pgMar w:top="1443" w:right="1304" w:bottom="993" w:left="1701" w:header="425" w:footer="567" w:gutter="0"/>
          <w:cols w:space="720"/>
        </w:sectPr>
      </w:pPr>
    </w:p>
    <w:p w14:paraId="27079FC1" w14:textId="77777777" w:rsidR="00155055" w:rsidRDefault="00155055" w:rsidP="00155055">
      <w:pPr>
        <w:rPr>
          <w:b/>
          <w:bCs/>
        </w:rPr>
      </w:pPr>
    </w:p>
    <w:p w14:paraId="6A887505" w14:textId="77777777" w:rsidR="00155055" w:rsidRDefault="00155055" w:rsidP="00155055">
      <w:pPr>
        <w:rPr>
          <w:b/>
          <w:bCs/>
        </w:rPr>
      </w:pPr>
      <w:r>
        <w:rPr>
          <w:b/>
          <w:bCs/>
        </w:rPr>
        <w:t>ARAC Members</w:t>
      </w:r>
    </w:p>
    <w:p w14:paraId="0FFE2CB7" w14:textId="77777777" w:rsidR="00155055" w:rsidRDefault="00155055" w:rsidP="00155055">
      <w:r>
        <w:t>Professor Gary Crowe (GC), Chair</w:t>
      </w:r>
    </w:p>
    <w:p w14:paraId="2506318A" w14:textId="77777777" w:rsidR="00155055" w:rsidRDefault="00155055" w:rsidP="00155055">
      <w:r>
        <w:t>Helen Dodds (HD)</w:t>
      </w:r>
    </w:p>
    <w:p w14:paraId="79A7326D" w14:textId="77777777" w:rsidR="00155055" w:rsidRDefault="00155055" w:rsidP="00155055">
      <w:r>
        <w:t>Dave Lewis (DL)</w:t>
      </w:r>
    </w:p>
    <w:p w14:paraId="1E4681C0" w14:textId="77777777" w:rsidR="00155055" w:rsidRDefault="00155055" w:rsidP="00155055"/>
    <w:p w14:paraId="11EC69DC" w14:textId="77777777" w:rsidR="00155055" w:rsidRDefault="00155055" w:rsidP="00155055">
      <w:pPr>
        <w:rPr>
          <w:b/>
          <w:bCs/>
        </w:rPr>
      </w:pPr>
      <w:r>
        <w:rPr>
          <w:b/>
          <w:bCs/>
        </w:rPr>
        <w:t>Observers</w:t>
      </w:r>
    </w:p>
    <w:p w14:paraId="35A5DEDC" w14:textId="77777777" w:rsidR="00155055" w:rsidRDefault="00155055" w:rsidP="00155055">
      <w:r>
        <w:t>Dylan Parrin (DP), Senior Policy Manager, Department of Health and Social Care</w:t>
      </w:r>
    </w:p>
    <w:p w14:paraId="376371C4" w14:textId="77777777" w:rsidR="00155055" w:rsidRDefault="00155055" w:rsidP="00155055">
      <w:pPr>
        <w:rPr>
          <w:rStyle w:val="eop"/>
          <w:color w:val="000000"/>
          <w:shd w:val="clear" w:color="auto" w:fill="FFFFFF"/>
        </w:rPr>
      </w:pPr>
      <w:r>
        <w:t>Mohit Parmar (MP)</w:t>
      </w:r>
      <w:r>
        <w:rPr>
          <w:rStyle w:val="normaltextrun"/>
          <w:color w:val="000000"/>
          <w:shd w:val="clear" w:color="auto" w:fill="FFFFFF"/>
        </w:rPr>
        <w:t>, National Audit Office</w:t>
      </w:r>
      <w:r>
        <w:rPr>
          <w:rStyle w:val="eop"/>
          <w:color w:val="000000"/>
          <w:shd w:val="clear" w:color="auto" w:fill="FFFFFF"/>
        </w:rPr>
        <w:t> </w:t>
      </w:r>
    </w:p>
    <w:p w14:paraId="7D104FDB" w14:textId="77777777" w:rsidR="00155055" w:rsidRDefault="00155055" w:rsidP="00155055">
      <w:pPr>
        <w:rPr>
          <w:rStyle w:val="eop"/>
          <w:color w:val="000000"/>
          <w:shd w:val="clear" w:color="auto" w:fill="FFFFFF"/>
        </w:rPr>
      </w:pPr>
      <w:r>
        <w:t>James McGraw (</w:t>
      </w:r>
      <w:proofErr w:type="spellStart"/>
      <w:r>
        <w:t>JMcG</w:t>
      </w:r>
      <w:proofErr w:type="spellEnd"/>
      <w:r>
        <w:t xml:space="preserve">) </w:t>
      </w:r>
      <w:r>
        <w:rPr>
          <w:rStyle w:val="normaltextrun"/>
          <w:color w:val="000000"/>
          <w:shd w:val="clear" w:color="auto" w:fill="FFFFFF"/>
        </w:rPr>
        <w:t>National Audit Office</w:t>
      </w:r>
      <w:r>
        <w:rPr>
          <w:rStyle w:val="eop"/>
          <w:color w:val="000000"/>
          <w:shd w:val="clear" w:color="auto" w:fill="FFFFFF"/>
        </w:rPr>
        <w:t> </w:t>
      </w:r>
    </w:p>
    <w:p w14:paraId="75D474B9" w14:textId="77777777" w:rsidR="00155055" w:rsidRDefault="00155055" w:rsidP="00155055">
      <w:r>
        <w:t>Dean Gibbs (DG), KPMG</w:t>
      </w:r>
    </w:p>
    <w:p w14:paraId="728EDA42" w14:textId="77777777" w:rsidR="00155055" w:rsidRDefault="00155055" w:rsidP="00155055">
      <w:r>
        <w:t>Eric Sibisi (ES), KPMG</w:t>
      </w:r>
    </w:p>
    <w:p w14:paraId="6D581C52" w14:textId="77777777" w:rsidR="00155055" w:rsidRDefault="00155055" w:rsidP="00155055">
      <w:pPr>
        <w:rPr>
          <w:rStyle w:val="eop"/>
          <w:color w:val="000000"/>
          <w:shd w:val="clear" w:color="auto" w:fill="FFFFFF"/>
        </w:rPr>
      </w:pPr>
      <w:r>
        <w:rPr>
          <w:rStyle w:val="normaltextrun"/>
          <w:color w:val="000000"/>
          <w:shd w:val="clear" w:color="auto" w:fill="FFFFFF"/>
        </w:rPr>
        <w:t>Joanne Charlton (JC) Government Internal Audit Agency </w:t>
      </w:r>
      <w:r>
        <w:rPr>
          <w:rStyle w:val="eop"/>
          <w:color w:val="000000"/>
          <w:shd w:val="clear" w:color="auto" w:fill="FFFFFF"/>
        </w:rPr>
        <w:t> </w:t>
      </w:r>
    </w:p>
    <w:p w14:paraId="550539AD" w14:textId="77777777" w:rsidR="00155055" w:rsidRDefault="00155055" w:rsidP="00155055">
      <w:pPr>
        <w:rPr>
          <w:b/>
          <w:bCs/>
        </w:rPr>
      </w:pPr>
    </w:p>
    <w:p w14:paraId="448297EF" w14:textId="77777777" w:rsidR="00155055" w:rsidRDefault="00155055" w:rsidP="00155055">
      <w:pPr>
        <w:rPr>
          <w:b/>
          <w:bCs/>
        </w:rPr>
      </w:pPr>
      <w:r>
        <w:rPr>
          <w:b/>
          <w:bCs/>
        </w:rPr>
        <w:t>In Attendance</w:t>
      </w:r>
      <w:r>
        <w:rPr>
          <w:b/>
          <w:bCs/>
        </w:rPr>
        <w:tab/>
      </w:r>
    </w:p>
    <w:p w14:paraId="610B8FDA" w14:textId="77777777" w:rsidR="00155055" w:rsidRDefault="00155055" w:rsidP="00155055">
      <w:r>
        <w:t>Dr Colin Sullivan (CS), CEO</w:t>
      </w:r>
      <w:r>
        <w:br/>
      </w:r>
      <w:r>
        <w:rPr>
          <w:rStyle w:val="normaltextrun"/>
          <w:color w:val="000000"/>
          <w:shd w:val="clear" w:color="auto" w:fill="FFFFFF"/>
        </w:rPr>
        <w:t>Louise Dineley (LD), Director of Data Technology and Development</w:t>
      </w:r>
      <w:r>
        <w:rPr>
          <w:rStyle w:val="eop"/>
          <w:color w:val="000000"/>
          <w:shd w:val="clear" w:color="auto" w:fill="FFFFFF"/>
        </w:rPr>
        <w:t> </w:t>
      </w:r>
    </w:p>
    <w:p w14:paraId="139A8AD8" w14:textId="77777777" w:rsidR="00155055" w:rsidRDefault="00155055" w:rsidP="00155055">
      <w:pPr>
        <w:rPr>
          <w:rStyle w:val="eop"/>
          <w:color w:val="000000"/>
          <w:shd w:val="clear" w:color="auto" w:fill="FFFFFF"/>
        </w:rPr>
      </w:pPr>
      <w:r>
        <w:rPr>
          <w:rStyle w:val="normaltextrun"/>
          <w:color w:val="000000"/>
          <w:shd w:val="clear" w:color="auto" w:fill="FFFFFF"/>
        </w:rPr>
        <w:t xml:space="preserve">Richard Sydee (RS), Director of </w:t>
      </w:r>
      <w:r>
        <w:rPr>
          <w:rStyle w:val="normaltextrun"/>
          <w:color w:val="000000"/>
          <w:bdr w:val="none" w:sz="0" w:space="0" w:color="auto" w:frame="1"/>
        </w:rPr>
        <w:t>Resources</w:t>
      </w:r>
      <w:r>
        <w:rPr>
          <w:color w:val="000000"/>
          <w:shd w:val="clear" w:color="auto" w:fill="FFFFFF"/>
        </w:rPr>
        <w:br/>
      </w:r>
      <w:r>
        <w:rPr>
          <w:rStyle w:val="normaltextrun"/>
          <w:color w:val="000000"/>
          <w:shd w:val="clear" w:color="auto" w:fill="FFFFFF"/>
        </w:rPr>
        <w:t>Nicolette Harrison (ANH), Director of Regulation</w:t>
      </w:r>
      <w:r>
        <w:rPr>
          <w:rStyle w:val="eop"/>
          <w:color w:val="000000"/>
          <w:shd w:val="clear" w:color="auto" w:fill="FFFFFF"/>
        </w:rPr>
        <w:t> </w:t>
      </w:r>
    </w:p>
    <w:p w14:paraId="2ACD427B" w14:textId="77777777" w:rsidR="00155055" w:rsidRDefault="00155055" w:rsidP="00155055">
      <w:pPr>
        <w:rPr>
          <w:rStyle w:val="eop"/>
          <w:color w:val="000000"/>
          <w:shd w:val="clear" w:color="auto" w:fill="FFFFFF"/>
        </w:rPr>
      </w:pPr>
      <w:r>
        <w:rPr>
          <w:rStyle w:val="eop"/>
          <w:color w:val="000000"/>
          <w:shd w:val="clear" w:color="auto" w:fill="FFFFFF"/>
        </w:rPr>
        <w:t xml:space="preserve">John McDermott (JMD), Deputy Director for Performance &amp; Corporate Governance </w:t>
      </w:r>
    </w:p>
    <w:p w14:paraId="1F7C4380" w14:textId="77777777" w:rsidR="00155055" w:rsidRDefault="00155055" w:rsidP="00155055">
      <w:r>
        <w:t>Morounke Akingbola (MA), Head of Finance and Governance</w:t>
      </w:r>
    </w:p>
    <w:p w14:paraId="7D363EAB" w14:textId="77777777" w:rsidR="00155055" w:rsidRDefault="00155055" w:rsidP="00155055">
      <w:r>
        <w:t>Heather Troy (HT), Board Support (</w:t>
      </w:r>
      <w:r>
        <w:rPr>
          <w:i/>
          <w:iCs/>
        </w:rPr>
        <w:t>minute taker</w:t>
      </w:r>
      <w:r>
        <w:t xml:space="preserve">) </w:t>
      </w:r>
    </w:p>
    <w:p w14:paraId="250F16AA" w14:textId="77777777" w:rsidR="00155055" w:rsidRDefault="00155055" w:rsidP="00155055"/>
    <w:p w14:paraId="4EE54B01" w14:textId="77777777" w:rsidR="00155055" w:rsidRDefault="00155055" w:rsidP="00155055">
      <w:pPr>
        <w:rPr>
          <w:b/>
          <w:bCs/>
        </w:rPr>
      </w:pPr>
      <w:r>
        <w:rPr>
          <w:b/>
          <w:bCs/>
        </w:rPr>
        <w:t>HTA observers</w:t>
      </w:r>
    </w:p>
    <w:p w14:paraId="4D7B37A2" w14:textId="78F8E99F" w:rsidR="00155055" w:rsidRDefault="00155055" w:rsidP="00155055">
      <w:r>
        <w:t>Debra Smith (DS), Private Office Lead</w:t>
      </w:r>
    </w:p>
    <w:p w14:paraId="0B122CA1" w14:textId="77777777" w:rsidR="00155055" w:rsidRDefault="00155055" w:rsidP="00155055">
      <w:r>
        <w:t>Gisela Amabilino (GA), Corporate Services Manager</w:t>
      </w:r>
    </w:p>
    <w:p w14:paraId="5346C9BE" w14:textId="77777777" w:rsidR="00155055" w:rsidRDefault="00155055" w:rsidP="00155055">
      <w:r>
        <w:t>Austen Cutten (AC), Regulation Manager</w:t>
      </w:r>
    </w:p>
    <w:p w14:paraId="5DB67323" w14:textId="77777777" w:rsidR="00155055" w:rsidRDefault="00155055" w:rsidP="00155055"/>
    <w:p w14:paraId="3B6BDBE2" w14:textId="77777777" w:rsidR="00155055" w:rsidRDefault="00155055" w:rsidP="00155055">
      <w:pPr>
        <w:rPr>
          <w:sz w:val="22"/>
          <w:szCs w:val="22"/>
        </w:rPr>
      </w:pPr>
      <w:r>
        <w:rPr>
          <w:b/>
          <w:bCs/>
        </w:rPr>
        <w:tab/>
      </w:r>
    </w:p>
    <w:p w14:paraId="33DF4299" w14:textId="77777777" w:rsidR="00155055" w:rsidRDefault="00155055" w:rsidP="00155055">
      <w:pPr>
        <w:rPr>
          <w:sz w:val="22"/>
          <w:szCs w:val="22"/>
        </w:rPr>
        <w:sectPr w:rsidR="00155055">
          <w:type w:val="continuous"/>
          <w:pgSz w:w="11907" w:h="16840"/>
          <w:pgMar w:top="284" w:right="1304" w:bottom="993" w:left="1701" w:header="425" w:footer="567" w:gutter="0"/>
          <w:cols w:num="2" w:space="708"/>
        </w:sectPr>
      </w:pPr>
    </w:p>
    <w:p w14:paraId="2AC63CD3" w14:textId="28530858" w:rsidR="00155055" w:rsidRPr="00155055" w:rsidRDefault="00155055" w:rsidP="00155055">
      <w:pPr>
        <w:rPr>
          <w:rFonts w:cstheme="majorBidi"/>
          <w:b/>
          <w:bCs/>
          <w:sz w:val="28"/>
          <w:szCs w:val="28"/>
        </w:rPr>
      </w:pPr>
      <w:r w:rsidRPr="00155055">
        <w:rPr>
          <w:b/>
          <w:bCs/>
          <w:sz w:val="28"/>
          <w:szCs w:val="28"/>
        </w:rPr>
        <w:lastRenderedPageBreak/>
        <w:t xml:space="preserve"> Item 1 – Welcome and apologies</w:t>
      </w:r>
    </w:p>
    <w:p w14:paraId="121830A3" w14:textId="77777777" w:rsidR="00155055" w:rsidRDefault="00155055" w:rsidP="00155055"/>
    <w:p w14:paraId="450EA9B7" w14:textId="77777777" w:rsidR="00155055" w:rsidRDefault="00155055" w:rsidP="00155055">
      <w:pPr>
        <w:pStyle w:val="ListParagraph"/>
        <w:numPr>
          <w:ilvl w:val="0"/>
          <w:numId w:val="2"/>
        </w:numPr>
        <w:ind w:left="426"/>
      </w:pPr>
      <w:r>
        <w:t xml:space="preserve">The Chair welcomed Members, the Executive team and colleagues from the Department of Health and Social Care (DHSC), Government Internal Audit Agency (GIAA), the National Audit Office (NAO), KPMG and HTA staff observers.  </w:t>
      </w:r>
    </w:p>
    <w:p w14:paraId="5E91BCC7" w14:textId="77777777" w:rsidR="00155055" w:rsidRDefault="00155055" w:rsidP="00155055">
      <w:pPr>
        <w:pStyle w:val="Heading1"/>
        <w:spacing w:before="0"/>
      </w:pPr>
    </w:p>
    <w:p w14:paraId="1803FC55" w14:textId="77777777" w:rsidR="00155055" w:rsidRDefault="00155055" w:rsidP="00155055">
      <w:pPr>
        <w:pStyle w:val="Heading1"/>
        <w:spacing w:before="0"/>
      </w:pPr>
      <w:r>
        <w:t>Item 2 – Declarations of interest</w:t>
      </w:r>
    </w:p>
    <w:p w14:paraId="6BF3FAC7" w14:textId="77777777" w:rsidR="00155055" w:rsidRDefault="00155055" w:rsidP="00155055">
      <w:pPr>
        <w:rPr>
          <w:b/>
        </w:rPr>
      </w:pPr>
    </w:p>
    <w:p w14:paraId="09E8A373" w14:textId="77777777" w:rsidR="00155055" w:rsidRDefault="00155055" w:rsidP="00155055">
      <w:pPr>
        <w:pStyle w:val="ListParagraph"/>
        <w:numPr>
          <w:ilvl w:val="0"/>
          <w:numId w:val="2"/>
        </w:numPr>
        <w:ind w:left="397"/>
        <w:rPr>
          <w:rStyle w:val="normaltextrun"/>
        </w:rPr>
      </w:pPr>
      <w:r>
        <w:rPr>
          <w:rStyle w:val="normaltextrun"/>
          <w:color w:val="000000"/>
          <w:shd w:val="clear" w:color="auto" w:fill="FFFFFF"/>
        </w:rPr>
        <w:t>The Chair asked Members if there were any declarations of interest to be made; none were declared.</w:t>
      </w:r>
    </w:p>
    <w:p w14:paraId="3CD32FB2" w14:textId="77777777" w:rsidR="00155055" w:rsidRDefault="00155055" w:rsidP="00155055"/>
    <w:p w14:paraId="0CD98CFE" w14:textId="77777777" w:rsidR="00155055" w:rsidRDefault="00155055" w:rsidP="00155055">
      <w:pPr>
        <w:rPr>
          <w:b/>
          <w:bCs/>
          <w:sz w:val="28"/>
          <w:szCs w:val="28"/>
        </w:rPr>
      </w:pPr>
      <w:r>
        <w:rPr>
          <w:b/>
          <w:bCs/>
          <w:sz w:val="28"/>
          <w:szCs w:val="28"/>
        </w:rPr>
        <w:t>Item 3 – Minutes of 26 January 2023 meeting [AUD 17/23]</w:t>
      </w:r>
    </w:p>
    <w:p w14:paraId="1102B123" w14:textId="77777777" w:rsidR="00155055" w:rsidRDefault="00155055" w:rsidP="00155055">
      <w:pPr>
        <w:rPr>
          <w:b/>
        </w:rPr>
      </w:pPr>
    </w:p>
    <w:p w14:paraId="2F523C6B" w14:textId="77777777" w:rsidR="00155055" w:rsidRDefault="00155055" w:rsidP="00155055">
      <w:pPr>
        <w:pStyle w:val="ListParagraph"/>
        <w:numPr>
          <w:ilvl w:val="0"/>
          <w:numId w:val="2"/>
        </w:numPr>
        <w:ind w:left="426"/>
        <w:rPr>
          <w:bCs/>
        </w:rPr>
      </w:pPr>
      <w:r>
        <w:rPr>
          <w:bCs/>
        </w:rPr>
        <w:t xml:space="preserve">The Chair introduced the minutes of the meeting held on 26 January 2023. </w:t>
      </w:r>
    </w:p>
    <w:p w14:paraId="00E4B143" w14:textId="77777777" w:rsidR="00155055" w:rsidRDefault="00155055" w:rsidP="00155055">
      <w:pPr>
        <w:pStyle w:val="ListParagraph"/>
        <w:ind w:left="426"/>
        <w:rPr>
          <w:bCs/>
        </w:rPr>
      </w:pPr>
    </w:p>
    <w:p w14:paraId="60710964" w14:textId="77777777" w:rsidR="00155055" w:rsidRDefault="00155055" w:rsidP="00155055">
      <w:pPr>
        <w:pStyle w:val="ListParagraph"/>
        <w:numPr>
          <w:ilvl w:val="0"/>
          <w:numId w:val="2"/>
        </w:numPr>
        <w:ind w:left="397"/>
        <w:rPr>
          <w:bCs/>
        </w:rPr>
      </w:pPr>
      <w:r>
        <w:rPr>
          <w:bCs/>
        </w:rPr>
        <w:t xml:space="preserve">The minutes were accepted and </w:t>
      </w:r>
      <w:r>
        <w:rPr>
          <w:rStyle w:val="normaltextrun"/>
          <w:color w:val="000000"/>
          <w:shd w:val="clear" w:color="auto" w:fill="FFFFFF"/>
        </w:rPr>
        <w:t xml:space="preserve">agreed to be an accurate record of the meeting. </w:t>
      </w:r>
    </w:p>
    <w:p w14:paraId="6B82280E" w14:textId="77777777" w:rsidR="00155055" w:rsidRDefault="00155055" w:rsidP="00155055">
      <w:pPr>
        <w:pStyle w:val="Heading1"/>
        <w:spacing w:before="0"/>
      </w:pPr>
    </w:p>
    <w:p w14:paraId="7B478782" w14:textId="77777777" w:rsidR="00155055" w:rsidRDefault="00155055" w:rsidP="00155055">
      <w:pPr>
        <w:pStyle w:val="Heading1"/>
        <w:spacing w:before="0"/>
      </w:pPr>
      <w:r>
        <w:t>Item 4 – Matters arising from 26 January 2023 meeting [AUD 18/23]</w:t>
      </w:r>
    </w:p>
    <w:p w14:paraId="0226921F" w14:textId="77777777" w:rsidR="00155055" w:rsidRDefault="00155055" w:rsidP="00155055">
      <w:pPr>
        <w:rPr>
          <w:b/>
        </w:rPr>
      </w:pPr>
    </w:p>
    <w:p w14:paraId="1CC06789" w14:textId="77777777" w:rsidR="00155055" w:rsidRDefault="00155055" w:rsidP="00155055">
      <w:pPr>
        <w:pStyle w:val="ListParagraph"/>
        <w:numPr>
          <w:ilvl w:val="0"/>
          <w:numId w:val="2"/>
        </w:numPr>
        <w:ind w:left="425"/>
        <w:rPr>
          <w:rFonts w:eastAsiaTheme="majorEastAsia"/>
          <w:b/>
          <w:bCs/>
        </w:rPr>
      </w:pPr>
      <w:r>
        <w:t xml:space="preserve">The Chair introduced the revised matters arising report. </w:t>
      </w:r>
    </w:p>
    <w:p w14:paraId="1C50B60F" w14:textId="77777777" w:rsidR="00155055" w:rsidRDefault="00155055" w:rsidP="00155055">
      <w:pPr>
        <w:pStyle w:val="ListParagraph"/>
        <w:ind w:left="425"/>
        <w:rPr>
          <w:rFonts w:eastAsiaTheme="majorEastAsia"/>
          <w:b/>
          <w:bCs/>
        </w:rPr>
      </w:pPr>
    </w:p>
    <w:p w14:paraId="5F652C46" w14:textId="050DB0D8" w:rsidR="00155055" w:rsidRDefault="00155055" w:rsidP="00155055">
      <w:pPr>
        <w:pStyle w:val="ListParagraph"/>
        <w:numPr>
          <w:ilvl w:val="0"/>
          <w:numId w:val="2"/>
        </w:numPr>
        <w:ind w:left="425"/>
        <w:rPr>
          <w:rFonts w:eastAsiaTheme="majorEastAsia"/>
          <w:b/>
          <w:bCs/>
        </w:rPr>
      </w:pPr>
      <w:r>
        <w:t>RS noted Item No ARAC_2023_05 – External Audit -will; be covered under today’s agenda.  This item was closed.</w:t>
      </w:r>
    </w:p>
    <w:p w14:paraId="47605691" w14:textId="77777777" w:rsidR="00155055" w:rsidRDefault="00155055" w:rsidP="00155055">
      <w:pPr>
        <w:pStyle w:val="ListParagraph"/>
        <w:rPr>
          <w:rFonts w:eastAsiaTheme="majorEastAsia"/>
          <w:b/>
          <w:bCs/>
        </w:rPr>
      </w:pPr>
    </w:p>
    <w:p w14:paraId="55E5CA0C" w14:textId="77777777" w:rsidR="00155055" w:rsidRDefault="00155055" w:rsidP="00155055">
      <w:pPr>
        <w:rPr>
          <w:rFonts w:eastAsiaTheme="majorEastAsia"/>
          <w:b/>
          <w:bCs/>
        </w:rPr>
      </w:pPr>
    </w:p>
    <w:p w14:paraId="6B85123D" w14:textId="77777777" w:rsidR="00155055" w:rsidRDefault="00155055" w:rsidP="00155055">
      <w:pPr>
        <w:pStyle w:val="Heading1"/>
        <w:spacing w:before="0"/>
        <w:rPr>
          <w:rFonts w:cs="Arial"/>
        </w:rPr>
      </w:pPr>
      <w:r>
        <w:rPr>
          <w:rFonts w:cs="Arial"/>
        </w:rPr>
        <w:t xml:space="preserve">Item 5 – Internal Audit [AUD 19/23] </w:t>
      </w:r>
    </w:p>
    <w:p w14:paraId="6B198CDE" w14:textId="77777777" w:rsidR="00155055" w:rsidRDefault="00155055" w:rsidP="00155055">
      <w:pPr>
        <w:rPr>
          <w:b/>
        </w:rPr>
      </w:pPr>
      <w:r>
        <w:rPr>
          <w:b/>
        </w:rPr>
        <w:t xml:space="preserve"> </w:t>
      </w:r>
    </w:p>
    <w:p w14:paraId="4E3E1144" w14:textId="79460085" w:rsidR="00155055" w:rsidRDefault="00155055" w:rsidP="00155055">
      <w:pPr>
        <w:pStyle w:val="ListParagraph"/>
        <w:numPr>
          <w:ilvl w:val="0"/>
          <w:numId w:val="2"/>
        </w:numPr>
        <w:tabs>
          <w:tab w:val="num" w:pos="993"/>
        </w:tabs>
        <w:ind w:left="426"/>
        <w:rPr>
          <w:rStyle w:val="normaltextrun"/>
        </w:rPr>
      </w:pPr>
      <w:r>
        <w:rPr>
          <w:rStyle w:val="normaltextrun"/>
          <w:color w:val="000000"/>
          <w:shd w:val="clear" w:color="auto" w:fill="FFFFFF"/>
        </w:rPr>
        <w:t xml:space="preserve">Jo Charlton (JC) introduced the reports highlighting </w:t>
      </w:r>
      <w:r w:rsidR="58541B14">
        <w:rPr>
          <w:rStyle w:val="normaltextrun"/>
          <w:color w:val="000000"/>
          <w:shd w:val="clear" w:color="auto" w:fill="FFFFFF"/>
        </w:rPr>
        <w:t>several</w:t>
      </w:r>
      <w:r>
        <w:rPr>
          <w:rStyle w:val="normaltextrun"/>
          <w:color w:val="000000"/>
          <w:shd w:val="clear" w:color="auto" w:fill="FFFFFF"/>
        </w:rPr>
        <w:t xml:space="preserve"> key points.</w:t>
      </w:r>
    </w:p>
    <w:p w14:paraId="3E2937D8" w14:textId="77777777" w:rsidR="00155055" w:rsidRDefault="00155055" w:rsidP="00155055">
      <w:pPr>
        <w:pStyle w:val="ListParagraph"/>
        <w:ind w:left="426" w:hanging="426"/>
        <w:rPr>
          <w:rStyle w:val="normaltextrun"/>
        </w:rPr>
      </w:pPr>
    </w:p>
    <w:p w14:paraId="4E5020A6" w14:textId="0D8EE36B" w:rsidR="00155055" w:rsidRDefault="00155055" w:rsidP="00155055">
      <w:pPr>
        <w:pStyle w:val="ListParagraph"/>
        <w:numPr>
          <w:ilvl w:val="0"/>
          <w:numId w:val="2"/>
        </w:numPr>
        <w:ind w:left="426" w:hanging="426"/>
        <w:rPr>
          <w:rFonts w:asciiTheme="minorBidi" w:hAnsiTheme="minorBidi"/>
        </w:rPr>
      </w:pPr>
      <w:r>
        <w:rPr>
          <w:rFonts w:asciiTheme="minorBidi" w:hAnsiTheme="minorBidi"/>
        </w:rPr>
        <w:t xml:space="preserve">JC presented the draft annual opinion and report 2022/2023 adding a progress update will be given at the next ARAC meeting on 19 October 2023.  She informed the Committee of the executive summaries that received a moderate rating.  Committee members sought assurance that outstanding actions would be completed within the timelines on the action plan.  </w:t>
      </w:r>
    </w:p>
    <w:p w14:paraId="73016F92" w14:textId="77777777" w:rsidR="00155055" w:rsidRDefault="00155055" w:rsidP="00155055">
      <w:pPr>
        <w:ind w:left="426" w:hanging="426"/>
        <w:contextualSpacing/>
        <w:rPr>
          <w:rFonts w:asciiTheme="minorBidi" w:hAnsiTheme="minorBidi"/>
        </w:rPr>
      </w:pPr>
    </w:p>
    <w:p w14:paraId="4EB6F1A7" w14:textId="3DB73F30" w:rsidR="00155055" w:rsidRPr="00155055" w:rsidRDefault="00155055" w:rsidP="00AD0124">
      <w:pPr>
        <w:pStyle w:val="ListParagraph"/>
        <w:numPr>
          <w:ilvl w:val="0"/>
          <w:numId w:val="2"/>
        </w:numPr>
        <w:ind w:left="426" w:hanging="426"/>
        <w:rPr>
          <w:rFonts w:asciiTheme="minorBidi" w:hAnsiTheme="minorBidi"/>
        </w:rPr>
      </w:pPr>
      <w:r w:rsidRPr="00155055">
        <w:rPr>
          <w:rFonts w:asciiTheme="minorBidi" w:hAnsiTheme="minorBidi"/>
        </w:rPr>
        <w:t>JC confirmed moderate assurance opinion has been provided around the authority’s governance arrangements, risk management arrangements and systems of internal control for 2022/2023.  Most reviews were given moderate assurance, DSPT and records management reviewed were given limited assurance.</w:t>
      </w:r>
    </w:p>
    <w:p w14:paraId="5B618050" w14:textId="77777777" w:rsidR="00155055" w:rsidRDefault="00155055" w:rsidP="00155055">
      <w:pPr>
        <w:ind w:left="426" w:hanging="426"/>
        <w:contextualSpacing/>
        <w:rPr>
          <w:rFonts w:asciiTheme="minorBidi" w:hAnsiTheme="minorBidi"/>
        </w:rPr>
      </w:pPr>
    </w:p>
    <w:p w14:paraId="46846570" w14:textId="77777777" w:rsidR="00155055" w:rsidRDefault="00155055" w:rsidP="00155055">
      <w:pPr>
        <w:pStyle w:val="ListParagraph"/>
        <w:numPr>
          <w:ilvl w:val="0"/>
          <w:numId w:val="2"/>
        </w:numPr>
        <w:ind w:left="426" w:hanging="426"/>
        <w:rPr>
          <w:rFonts w:asciiTheme="minorBidi" w:hAnsiTheme="minorBidi"/>
        </w:rPr>
      </w:pPr>
      <w:r>
        <w:rPr>
          <w:rFonts w:asciiTheme="minorBidi" w:hAnsiTheme="minorBidi"/>
        </w:rPr>
        <w:t xml:space="preserve">GC thanked JC for all her work on the draft Annual Opinion and Report for 2022/2023 and the ARAC report supplement.  </w:t>
      </w:r>
    </w:p>
    <w:p w14:paraId="60345480" w14:textId="77777777" w:rsidR="00155055" w:rsidRDefault="00155055" w:rsidP="00155055">
      <w:pPr>
        <w:ind w:left="426" w:hanging="426"/>
        <w:contextualSpacing/>
        <w:rPr>
          <w:rFonts w:asciiTheme="minorBidi" w:hAnsiTheme="minorBidi"/>
        </w:rPr>
      </w:pPr>
    </w:p>
    <w:p w14:paraId="529A9208" w14:textId="77777777" w:rsidR="00155055" w:rsidRDefault="00155055" w:rsidP="00155055">
      <w:pPr>
        <w:pStyle w:val="ListParagraph"/>
        <w:numPr>
          <w:ilvl w:val="0"/>
          <w:numId w:val="2"/>
        </w:numPr>
        <w:ind w:left="426" w:hanging="426"/>
        <w:rPr>
          <w:rFonts w:asciiTheme="minorBidi" w:hAnsiTheme="minorBidi"/>
        </w:rPr>
      </w:pPr>
      <w:r>
        <w:rPr>
          <w:rFonts w:asciiTheme="minorBidi" w:hAnsiTheme="minorBidi"/>
        </w:rPr>
        <w:t>The Committee noted the draft Annual Opinion and Report for 2022/2023 and the ARAC Report Supplement.</w:t>
      </w:r>
    </w:p>
    <w:p w14:paraId="0EE12D74" w14:textId="77777777" w:rsidR="00155055" w:rsidRDefault="00155055" w:rsidP="00155055"/>
    <w:p w14:paraId="6F9967DF" w14:textId="77777777" w:rsidR="00155055" w:rsidRDefault="00155055" w:rsidP="00155055">
      <w:pPr>
        <w:pStyle w:val="Heading1"/>
        <w:spacing w:before="0"/>
      </w:pPr>
      <w:r>
        <w:lastRenderedPageBreak/>
        <w:t>Item 6 – External Audit [20/23]</w:t>
      </w:r>
    </w:p>
    <w:p w14:paraId="6B32C0B5" w14:textId="77777777" w:rsidR="00155055" w:rsidRDefault="00155055" w:rsidP="00155055">
      <w:pPr>
        <w:ind w:left="426" w:hanging="426"/>
        <w:rPr>
          <w:bCs/>
        </w:rPr>
      </w:pPr>
    </w:p>
    <w:p w14:paraId="1517D2C6" w14:textId="39FFDA92" w:rsidR="00155055" w:rsidRDefault="00155055" w:rsidP="00155055">
      <w:pPr>
        <w:pStyle w:val="ListParagraph"/>
        <w:numPr>
          <w:ilvl w:val="0"/>
          <w:numId w:val="2"/>
        </w:numPr>
        <w:ind w:left="426" w:hanging="426"/>
      </w:pPr>
      <w:r>
        <w:rPr>
          <w:bCs/>
        </w:rPr>
        <w:t xml:space="preserve">RS presented an overview of the Annual Report and Accounts 2022/2023 for approval by Committee.  He also asked the Committee to consider the External Auditors annual statement at Annex B and </w:t>
      </w:r>
      <w:r>
        <w:t xml:space="preserve">ISA 260 report (management letter) at Annex C.  </w:t>
      </w:r>
    </w:p>
    <w:p w14:paraId="4DFDA283" w14:textId="77777777" w:rsidR="00155055" w:rsidRDefault="00155055" w:rsidP="00155055">
      <w:pPr>
        <w:ind w:left="426" w:hanging="426"/>
        <w:rPr>
          <w:bCs/>
        </w:rPr>
      </w:pPr>
    </w:p>
    <w:p w14:paraId="1650585B" w14:textId="77777777" w:rsidR="00155055" w:rsidRDefault="00155055" w:rsidP="00155055">
      <w:pPr>
        <w:pStyle w:val="ListParagraph"/>
        <w:numPr>
          <w:ilvl w:val="0"/>
          <w:numId w:val="2"/>
        </w:numPr>
        <w:ind w:left="426" w:hanging="426"/>
        <w:rPr>
          <w:rFonts w:asciiTheme="minorBidi" w:hAnsiTheme="minorBidi"/>
        </w:rPr>
      </w:pPr>
      <w:r>
        <w:rPr>
          <w:bCs/>
        </w:rPr>
        <w:t xml:space="preserve">Dean Gibbs, KPMG, thanked RS and MA for their support in preparing the Annual Report and Accounts 2022/2023 and the audit process. He highlighted some of the risks identified such as management override of controls and the preparation of transition disclosures because of the new leases standard implemented in April 2022. </w:t>
      </w:r>
    </w:p>
    <w:p w14:paraId="235A4997" w14:textId="77777777" w:rsidR="00155055" w:rsidRDefault="00155055" w:rsidP="00155055">
      <w:pPr>
        <w:pStyle w:val="ListParagraph"/>
        <w:ind w:left="426" w:hanging="426"/>
        <w:rPr>
          <w:bCs/>
        </w:rPr>
      </w:pPr>
    </w:p>
    <w:p w14:paraId="59C5F7FA" w14:textId="77777777" w:rsidR="00155055" w:rsidRDefault="00155055" w:rsidP="00155055">
      <w:pPr>
        <w:pStyle w:val="ListParagraph"/>
        <w:numPr>
          <w:ilvl w:val="0"/>
          <w:numId w:val="2"/>
        </w:numPr>
        <w:ind w:left="426" w:hanging="426"/>
        <w:rPr>
          <w:rFonts w:asciiTheme="minorBidi" w:hAnsiTheme="minorBidi"/>
        </w:rPr>
      </w:pPr>
      <w:r>
        <w:rPr>
          <w:bCs/>
        </w:rPr>
        <w:t xml:space="preserve">DG drew the Committee’s attention to an adjustment on the balance sheet in the draft accounts which has increased net expenditure by £6,000.  </w:t>
      </w:r>
    </w:p>
    <w:p w14:paraId="1AC70EA9" w14:textId="77777777" w:rsidR="00155055" w:rsidRDefault="00155055" w:rsidP="00155055">
      <w:pPr>
        <w:pStyle w:val="ListParagraph"/>
        <w:ind w:left="426" w:hanging="426"/>
        <w:rPr>
          <w:bCs/>
        </w:rPr>
      </w:pPr>
    </w:p>
    <w:p w14:paraId="618A1EE4" w14:textId="2770ED7B" w:rsidR="00155055" w:rsidRDefault="00155055" w:rsidP="00155055">
      <w:pPr>
        <w:pStyle w:val="ListParagraph"/>
        <w:numPr>
          <w:ilvl w:val="0"/>
          <w:numId w:val="2"/>
        </w:numPr>
        <w:ind w:left="426" w:hanging="426"/>
        <w:rPr>
          <w:rFonts w:asciiTheme="minorBidi" w:hAnsiTheme="minorBidi"/>
        </w:rPr>
      </w:pPr>
      <w:r>
        <w:rPr>
          <w:bCs/>
        </w:rPr>
        <w:t>There is also an un-</w:t>
      </w:r>
      <w:r w:rsidR="00BD26D0">
        <w:rPr>
          <w:bCs/>
        </w:rPr>
        <w:t xml:space="preserve">adjusted </w:t>
      </w:r>
      <w:r>
        <w:rPr>
          <w:bCs/>
        </w:rPr>
        <w:t xml:space="preserve">mis-statement that relates to an aged item which DG recommended should be manually cleared by the journal process. </w:t>
      </w:r>
    </w:p>
    <w:p w14:paraId="0AD00532" w14:textId="77777777" w:rsidR="00155055" w:rsidRDefault="00155055" w:rsidP="00155055">
      <w:pPr>
        <w:ind w:left="426" w:hanging="426"/>
        <w:rPr>
          <w:bCs/>
        </w:rPr>
      </w:pPr>
    </w:p>
    <w:p w14:paraId="69640602" w14:textId="77777777" w:rsidR="00155055" w:rsidRDefault="00155055" w:rsidP="00155055">
      <w:pPr>
        <w:pStyle w:val="ListParagraph"/>
        <w:numPr>
          <w:ilvl w:val="0"/>
          <w:numId w:val="2"/>
        </w:numPr>
        <w:ind w:left="426" w:hanging="426"/>
        <w:rPr>
          <w:rFonts w:asciiTheme="minorBidi" w:hAnsiTheme="minorBidi"/>
        </w:rPr>
      </w:pPr>
      <w:r>
        <w:rPr>
          <w:rFonts w:asciiTheme="minorBidi" w:hAnsiTheme="minorBidi"/>
        </w:rPr>
        <w:t>DG confirmed that KPMG are comfortable to endorse they are independent of the HTA. There are no additional material aspects to bring to the Committee’s attention.</w:t>
      </w:r>
    </w:p>
    <w:p w14:paraId="3D47796E" w14:textId="77777777" w:rsidR="00155055" w:rsidRDefault="00155055" w:rsidP="00155055">
      <w:pPr>
        <w:ind w:left="426" w:hanging="426"/>
        <w:rPr>
          <w:rFonts w:asciiTheme="minorBidi" w:hAnsiTheme="minorBidi"/>
        </w:rPr>
      </w:pPr>
    </w:p>
    <w:p w14:paraId="7A0A50B7" w14:textId="77777777" w:rsidR="00155055" w:rsidRDefault="00155055" w:rsidP="00155055">
      <w:pPr>
        <w:pStyle w:val="ListParagraph"/>
        <w:numPr>
          <w:ilvl w:val="0"/>
          <w:numId w:val="2"/>
        </w:numPr>
        <w:ind w:left="426" w:hanging="426"/>
        <w:rPr>
          <w:rFonts w:asciiTheme="minorBidi" w:hAnsiTheme="minorBidi"/>
        </w:rPr>
      </w:pPr>
      <w:r>
        <w:rPr>
          <w:bCs/>
        </w:rPr>
        <w:t>The Certificate was noted and will be included in the Annual Reports and Accounts 2022/2023.</w:t>
      </w:r>
    </w:p>
    <w:p w14:paraId="78C781ED" w14:textId="77777777" w:rsidR="00155055" w:rsidRDefault="00155055" w:rsidP="00155055">
      <w:pPr>
        <w:ind w:left="426" w:hanging="426"/>
        <w:rPr>
          <w:bCs/>
        </w:rPr>
      </w:pPr>
    </w:p>
    <w:p w14:paraId="18D04E45" w14:textId="77777777" w:rsidR="00155055" w:rsidRDefault="00155055" w:rsidP="00155055">
      <w:pPr>
        <w:pStyle w:val="ListParagraph"/>
        <w:numPr>
          <w:ilvl w:val="0"/>
          <w:numId w:val="2"/>
        </w:numPr>
        <w:ind w:left="426" w:hanging="426"/>
        <w:rPr>
          <w:bCs/>
        </w:rPr>
      </w:pPr>
      <w:r>
        <w:rPr>
          <w:rFonts w:asciiTheme="minorBidi" w:hAnsiTheme="minorBidi"/>
        </w:rPr>
        <w:t>The Committee agreed the increase in expenditure should be cleared by a manual journal entry in the 2023/2024 financial statements.</w:t>
      </w:r>
    </w:p>
    <w:p w14:paraId="0A577992" w14:textId="77777777" w:rsidR="00155055" w:rsidRDefault="00155055" w:rsidP="00155055">
      <w:pPr>
        <w:rPr>
          <w:bCs/>
        </w:rPr>
      </w:pPr>
    </w:p>
    <w:p w14:paraId="58DF9AF9" w14:textId="77777777" w:rsidR="00155055" w:rsidRDefault="00155055" w:rsidP="00155055">
      <w:pPr>
        <w:pStyle w:val="ListParagraph"/>
        <w:numPr>
          <w:ilvl w:val="0"/>
          <w:numId w:val="2"/>
        </w:numPr>
        <w:ind w:left="426" w:hanging="426"/>
        <w:rPr>
          <w:bCs/>
        </w:rPr>
      </w:pPr>
      <w:r>
        <w:rPr>
          <w:bCs/>
        </w:rPr>
        <w:t xml:space="preserve">The Committee recommended the  Annual Report and Accounts 2022/2023 to be signed off after proof reading and checking for accuracy.  </w:t>
      </w:r>
    </w:p>
    <w:p w14:paraId="1549207F" w14:textId="77777777" w:rsidR="00155055" w:rsidRDefault="00155055" w:rsidP="00155055">
      <w:pPr>
        <w:pStyle w:val="Heading1"/>
        <w:spacing w:before="0"/>
      </w:pPr>
    </w:p>
    <w:p w14:paraId="31705A0A" w14:textId="77777777" w:rsidR="00155055" w:rsidRDefault="00155055" w:rsidP="00155055">
      <w:pPr>
        <w:pStyle w:val="Heading1"/>
        <w:spacing w:before="0"/>
      </w:pPr>
      <w:r>
        <w:t xml:space="preserve">Item 7 – Audit Tracker [AUD 21/23] </w:t>
      </w:r>
    </w:p>
    <w:p w14:paraId="3E3B0A6C" w14:textId="77777777" w:rsidR="00155055" w:rsidRDefault="00155055" w:rsidP="00155055">
      <w:pPr>
        <w:ind w:left="426" w:hanging="426"/>
        <w:rPr>
          <w:b/>
        </w:rPr>
      </w:pPr>
    </w:p>
    <w:p w14:paraId="7A0BB470" w14:textId="32534460" w:rsidR="00155055" w:rsidRDefault="00155055" w:rsidP="00155055">
      <w:pPr>
        <w:pStyle w:val="ListParagraph"/>
        <w:numPr>
          <w:ilvl w:val="0"/>
          <w:numId w:val="2"/>
        </w:numPr>
        <w:ind w:left="426" w:hanging="426"/>
        <w:rPr>
          <w:bCs/>
        </w:rPr>
      </w:pPr>
      <w:r>
        <w:rPr>
          <w:bCs/>
        </w:rPr>
        <w:t xml:space="preserve">GC brought the Committee’s attention to the new format of the </w:t>
      </w:r>
      <w:r w:rsidR="005D14B6">
        <w:rPr>
          <w:bCs/>
        </w:rPr>
        <w:t xml:space="preserve">audit </w:t>
      </w:r>
      <w:r>
        <w:rPr>
          <w:bCs/>
        </w:rPr>
        <w:t>tracker which gives more clarity around ownership of actions, timelines for completion and evidence provided.</w:t>
      </w:r>
    </w:p>
    <w:p w14:paraId="2E161969" w14:textId="77777777" w:rsidR="00155055" w:rsidRDefault="00155055" w:rsidP="00155055">
      <w:pPr>
        <w:ind w:left="426" w:hanging="426"/>
        <w:rPr>
          <w:bCs/>
        </w:rPr>
      </w:pPr>
    </w:p>
    <w:p w14:paraId="20D99A34" w14:textId="3847259E" w:rsidR="00155055" w:rsidRDefault="00155055" w:rsidP="00155055">
      <w:pPr>
        <w:pStyle w:val="ListParagraph"/>
        <w:numPr>
          <w:ilvl w:val="0"/>
          <w:numId w:val="2"/>
        </w:numPr>
        <w:ind w:left="426" w:hanging="426"/>
      </w:pPr>
      <w:r>
        <w:t xml:space="preserve">The Committee discussed the outstanding actions, some of which are overdue, and asked for assurance the risks are on track to be completed.  HD </w:t>
      </w:r>
      <w:r w:rsidR="005D14B6">
        <w:t>suggested further</w:t>
      </w:r>
      <w:r>
        <w:t xml:space="preserve"> comments noting the progress of outstanding actions on the action tracker would be informative. </w:t>
      </w:r>
    </w:p>
    <w:p w14:paraId="1651B462" w14:textId="77777777" w:rsidR="001A012C" w:rsidRDefault="001A012C" w:rsidP="00A30BB3">
      <w:pPr>
        <w:pStyle w:val="ListParagraph"/>
        <w:ind w:left="426"/>
        <w:rPr>
          <w:bCs/>
        </w:rPr>
      </w:pPr>
    </w:p>
    <w:p w14:paraId="56FD7430" w14:textId="7BDBFB73" w:rsidR="00155055" w:rsidRDefault="00155055" w:rsidP="00155055">
      <w:pPr>
        <w:pStyle w:val="ListParagraph"/>
        <w:numPr>
          <w:ilvl w:val="0"/>
          <w:numId w:val="2"/>
        </w:numPr>
        <w:ind w:left="426" w:hanging="426"/>
        <w:rPr>
          <w:bCs/>
        </w:rPr>
      </w:pPr>
      <w:r>
        <w:rPr>
          <w:bCs/>
        </w:rPr>
        <w:t>JC offered to support HTA staff and deliver a training session focusing on awareness and what an internal audit is.  This would help to staff understand internal audit recommendations and the action tracking process.</w:t>
      </w:r>
    </w:p>
    <w:p w14:paraId="545F3139" w14:textId="77777777" w:rsidR="00155055" w:rsidRDefault="00155055" w:rsidP="00155055">
      <w:pPr>
        <w:ind w:left="426" w:hanging="426"/>
        <w:rPr>
          <w:bCs/>
        </w:rPr>
      </w:pPr>
    </w:p>
    <w:p w14:paraId="62F0451A" w14:textId="414A723F" w:rsidR="00155055" w:rsidRDefault="00155055" w:rsidP="00155055">
      <w:pPr>
        <w:pStyle w:val="ListParagraph"/>
        <w:numPr>
          <w:ilvl w:val="0"/>
          <w:numId w:val="2"/>
        </w:numPr>
        <w:ind w:left="426" w:hanging="426"/>
      </w:pPr>
      <w:r>
        <w:t xml:space="preserve">The Committee noted the </w:t>
      </w:r>
      <w:r w:rsidR="00CE12F1">
        <w:t xml:space="preserve">audit </w:t>
      </w:r>
      <w:r>
        <w:t xml:space="preserve">tracker report and the </w:t>
      </w:r>
      <w:r w:rsidR="4CF5EC92">
        <w:t xml:space="preserve">good </w:t>
      </w:r>
      <w:r>
        <w:t>progress made.</w:t>
      </w:r>
    </w:p>
    <w:p w14:paraId="3697D7C7" w14:textId="77777777" w:rsidR="00155055" w:rsidRDefault="00155055" w:rsidP="00155055">
      <w:pPr>
        <w:rPr>
          <w:bCs/>
        </w:rPr>
      </w:pPr>
    </w:p>
    <w:p w14:paraId="6CFA427E" w14:textId="77777777" w:rsidR="00155055" w:rsidRDefault="00155055" w:rsidP="00155055">
      <w:pPr>
        <w:rPr>
          <w:b/>
          <w:bCs/>
          <w:sz w:val="28"/>
          <w:szCs w:val="28"/>
        </w:rPr>
      </w:pPr>
    </w:p>
    <w:p w14:paraId="7A3DC541" w14:textId="6CC56D2D" w:rsidR="00155055" w:rsidRDefault="00155055" w:rsidP="00155055">
      <w:pPr>
        <w:rPr>
          <w:b/>
          <w:bCs/>
          <w:sz w:val="28"/>
          <w:szCs w:val="28"/>
        </w:rPr>
      </w:pPr>
      <w:r>
        <w:rPr>
          <w:b/>
          <w:bCs/>
          <w:sz w:val="28"/>
          <w:szCs w:val="28"/>
        </w:rPr>
        <w:t>Item 8 – Cyber Security Quarterly Report [22/23]</w:t>
      </w:r>
    </w:p>
    <w:p w14:paraId="2EC55842" w14:textId="77777777" w:rsidR="00155055" w:rsidRDefault="00155055" w:rsidP="00155055">
      <w:pPr>
        <w:ind w:left="426" w:hanging="426"/>
      </w:pPr>
    </w:p>
    <w:p w14:paraId="63D7A960" w14:textId="77777777" w:rsidR="00155055" w:rsidRDefault="00155055" w:rsidP="00155055">
      <w:pPr>
        <w:pStyle w:val="Header"/>
        <w:numPr>
          <w:ilvl w:val="0"/>
          <w:numId w:val="2"/>
        </w:numPr>
        <w:ind w:left="426" w:hanging="426"/>
        <w:rPr>
          <w:rFonts w:asciiTheme="minorBidi" w:hAnsiTheme="minorBidi" w:cstheme="minorBidi"/>
          <w:sz w:val="24"/>
        </w:rPr>
      </w:pPr>
      <w:r>
        <w:rPr>
          <w:rFonts w:asciiTheme="minorBidi" w:hAnsiTheme="minorBidi" w:cstheme="minorBidi"/>
          <w:sz w:val="24"/>
        </w:rPr>
        <w:t>Louise Dineley presented the Cyber Security Quarterly Report.</w:t>
      </w:r>
    </w:p>
    <w:p w14:paraId="6389BA10" w14:textId="77777777" w:rsidR="00155055" w:rsidRDefault="00155055" w:rsidP="00155055">
      <w:pPr>
        <w:pStyle w:val="Header"/>
        <w:tabs>
          <w:tab w:val="left" w:pos="720"/>
        </w:tabs>
        <w:ind w:left="426" w:hanging="426"/>
        <w:rPr>
          <w:rFonts w:asciiTheme="minorBidi" w:hAnsiTheme="minorBidi" w:cstheme="minorBidi"/>
          <w:sz w:val="24"/>
        </w:rPr>
      </w:pPr>
    </w:p>
    <w:p w14:paraId="35B3F11F" w14:textId="3E4739BD" w:rsidR="00155055" w:rsidRDefault="00155055" w:rsidP="12C49410">
      <w:pPr>
        <w:pStyle w:val="Header"/>
        <w:numPr>
          <w:ilvl w:val="0"/>
          <w:numId w:val="2"/>
        </w:numPr>
        <w:ind w:left="426" w:hanging="426"/>
        <w:rPr>
          <w:rFonts w:asciiTheme="minorBidi" w:hAnsiTheme="minorBidi" w:cstheme="minorBidi"/>
          <w:sz w:val="24"/>
        </w:rPr>
      </w:pPr>
      <w:r w:rsidRPr="613ABAEE">
        <w:rPr>
          <w:rFonts w:asciiTheme="minorBidi" w:hAnsiTheme="minorBidi" w:cstheme="minorBidi"/>
          <w:sz w:val="24"/>
        </w:rPr>
        <w:t xml:space="preserve">LD highlighted that HTA has the highest </w:t>
      </w:r>
      <w:r w:rsidR="14AC7BA0" w:rsidRPr="613ABAEE">
        <w:rPr>
          <w:rFonts w:asciiTheme="minorBidi" w:hAnsiTheme="minorBidi" w:cstheme="minorBidi"/>
          <w:sz w:val="24"/>
        </w:rPr>
        <w:t>M</w:t>
      </w:r>
      <w:r w:rsidR="7C825688" w:rsidRPr="613ABAEE">
        <w:rPr>
          <w:rFonts w:asciiTheme="minorBidi" w:hAnsiTheme="minorBidi" w:cstheme="minorBidi"/>
          <w:sz w:val="24"/>
        </w:rPr>
        <w:t>icrosoft</w:t>
      </w:r>
      <w:r w:rsidR="14AC7BA0" w:rsidRPr="613ABAEE">
        <w:rPr>
          <w:rFonts w:asciiTheme="minorBidi" w:hAnsiTheme="minorBidi" w:cstheme="minorBidi"/>
          <w:sz w:val="24"/>
        </w:rPr>
        <w:t xml:space="preserve"> </w:t>
      </w:r>
      <w:r w:rsidRPr="613ABAEE">
        <w:rPr>
          <w:rFonts w:asciiTheme="minorBidi" w:hAnsiTheme="minorBidi" w:cstheme="minorBidi"/>
          <w:sz w:val="24"/>
        </w:rPr>
        <w:t>secure score at 93.6%</w:t>
      </w:r>
      <w:r w:rsidR="651E3C0B" w:rsidRPr="613ABAEE">
        <w:rPr>
          <w:rFonts w:asciiTheme="minorBidi" w:hAnsiTheme="minorBidi" w:cstheme="minorBidi"/>
          <w:sz w:val="24"/>
        </w:rPr>
        <w:t xml:space="preserve"> that it has had for the last 15 months.  </w:t>
      </w:r>
      <w:r w:rsidRPr="613ABAEE">
        <w:rPr>
          <w:rFonts w:asciiTheme="minorBidi" w:hAnsiTheme="minorBidi" w:cstheme="minorBidi"/>
          <w:sz w:val="24"/>
        </w:rPr>
        <w:t xml:space="preserve">  In the April </w:t>
      </w:r>
      <w:r w:rsidR="7C332799" w:rsidRPr="613ABAEE">
        <w:rPr>
          <w:rFonts w:asciiTheme="minorBidi" w:hAnsiTheme="minorBidi" w:cstheme="minorBidi"/>
          <w:sz w:val="24"/>
        </w:rPr>
        <w:t>the MDE</w:t>
      </w:r>
      <w:r w:rsidRPr="613ABAEE">
        <w:rPr>
          <w:rFonts w:asciiTheme="minorBidi" w:hAnsiTheme="minorBidi" w:cstheme="minorBidi"/>
          <w:sz w:val="24"/>
        </w:rPr>
        <w:t xml:space="preserve"> </w:t>
      </w:r>
      <w:r w:rsidR="3015C774" w:rsidRPr="613ABAEE">
        <w:rPr>
          <w:rFonts w:asciiTheme="minorBidi" w:hAnsiTheme="minorBidi" w:cstheme="minorBidi"/>
          <w:sz w:val="24"/>
        </w:rPr>
        <w:t xml:space="preserve">(Microsoft Defender for Endpoint) </w:t>
      </w:r>
      <w:r w:rsidRPr="613ABAEE">
        <w:rPr>
          <w:rFonts w:asciiTheme="minorBidi" w:hAnsiTheme="minorBidi" w:cstheme="minorBidi"/>
          <w:sz w:val="24"/>
        </w:rPr>
        <w:t xml:space="preserve">monitoring report across all </w:t>
      </w:r>
      <w:r w:rsidR="3D166241" w:rsidRPr="613ABAEE">
        <w:rPr>
          <w:rFonts w:asciiTheme="minorBidi" w:hAnsiTheme="minorBidi" w:cstheme="minorBidi"/>
          <w:sz w:val="24"/>
        </w:rPr>
        <w:t xml:space="preserve">ALBs and NHS establishments placed </w:t>
      </w:r>
      <w:r w:rsidRPr="613ABAEE">
        <w:rPr>
          <w:rFonts w:asciiTheme="minorBidi" w:hAnsiTheme="minorBidi" w:cstheme="minorBidi"/>
          <w:sz w:val="24"/>
        </w:rPr>
        <w:t xml:space="preserve"> the HTA</w:t>
      </w:r>
      <w:r w:rsidR="1A8CD813" w:rsidRPr="613ABAEE">
        <w:rPr>
          <w:rFonts w:asciiTheme="minorBidi" w:hAnsiTheme="minorBidi" w:cstheme="minorBidi"/>
          <w:sz w:val="24"/>
        </w:rPr>
        <w:t xml:space="preserve">’s performance </w:t>
      </w:r>
      <w:r w:rsidRPr="613ABAEE">
        <w:rPr>
          <w:rFonts w:asciiTheme="minorBidi" w:hAnsiTheme="minorBidi" w:cstheme="minorBidi"/>
          <w:sz w:val="24"/>
        </w:rPr>
        <w:t>in the top 5</w:t>
      </w:r>
      <w:r w:rsidR="2C4D8202" w:rsidRPr="613ABAEE">
        <w:rPr>
          <w:rFonts w:asciiTheme="minorBidi" w:hAnsiTheme="minorBidi" w:cstheme="minorBidi"/>
          <w:sz w:val="24"/>
        </w:rPr>
        <w:t>.</w:t>
      </w:r>
      <w:r w:rsidRPr="613ABAEE">
        <w:rPr>
          <w:rFonts w:asciiTheme="minorBidi" w:hAnsiTheme="minorBidi" w:cstheme="minorBidi"/>
          <w:sz w:val="24"/>
        </w:rPr>
        <w:t xml:space="preserve">  </w:t>
      </w:r>
    </w:p>
    <w:p w14:paraId="53360F06" w14:textId="77777777" w:rsidR="00155055" w:rsidRDefault="00155055" w:rsidP="00155055">
      <w:pPr>
        <w:pStyle w:val="Header"/>
        <w:tabs>
          <w:tab w:val="left" w:pos="720"/>
        </w:tabs>
        <w:ind w:left="426" w:hanging="426"/>
        <w:rPr>
          <w:rFonts w:asciiTheme="minorBidi" w:hAnsiTheme="minorBidi" w:cstheme="minorBidi"/>
          <w:sz w:val="24"/>
        </w:rPr>
      </w:pPr>
    </w:p>
    <w:p w14:paraId="68536106" w14:textId="77777777" w:rsidR="00155055" w:rsidRDefault="00155055" w:rsidP="00155055">
      <w:pPr>
        <w:pStyle w:val="ListParagraph"/>
        <w:ind w:left="426" w:hanging="426"/>
        <w:rPr>
          <w:rFonts w:asciiTheme="minorBidi" w:hAnsiTheme="minorBidi" w:cstheme="minorBidi"/>
        </w:rPr>
      </w:pPr>
    </w:p>
    <w:p w14:paraId="61BE0004" w14:textId="77777777" w:rsidR="00155055" w:rsidRDefault="00155055" w:rsidP="00155055">
      <w:pPr>
        <w:pStyle w:val="Header"/>
        <w:numPr>
          <w:ilvl w:val="0"/>
          <w:numId w:val="2"/>
        </w:numPr>
        <w:ind w:left="426" w:hanging="426"/>
        <w:rPr>
          <w:rFonts w:asciiTheme="minorBidi" w:hAnsiTheme="minorBidi" w:cstheme="minorBidi"/>
          <w:sz w:val="24"/>
        </w:rPr>
      </w:pPr>
      <w:r w:rsidRPr="68755095">
        <w:rPr>
          <w:rFonts w:asciiTheme="minorBidi" w:hAnsiTheme="minorBidi" w:cstheme="minorBidi"/>
          <w:sz w:val="24"/>
        </w:rPr>
        <w:t>An audit of access to HTA’s systems will be carried out periodically throughout the year to check staff continue to have access to systems they need access to.  A random audit of new starters has also been carried out.  Staff who need access to specialist systems such as finance or HR are identified at induction.</w:t>
      </w:r>
    </w:p>
    <w:p w14:paraId="51137551" w14:textId="77777777" w:rsidR="00155055" w:rsidRDefault="00155055" w:rsidP="00155055">
      <w:pPr>
        <w:pStyle w:val="Header"/>
        <w:tabs>
          <w:tab w:val="left" w:pos="720"/>
        </w:tabs>
        <w:ind w:left="426" w:hanging="426"/>
        <w:rPr>
          <w:rFonts w:asciiTheme="minorBidi" w:hAnsiTheme="minorBidi" w:cstheme="minorBidi"/>
          <w:sz w:val="24"/>
        </w:rPr>
      </w:pPr>
    </w:p>
    <w:p w14:paraId="7288726C" w14:textId="4C2EE3E8" w:rsidR="00155055" w:rsidRDefault="00155055" w:rsidP="68755095">
      <w:pPr>
        <w:pStyle w:val="Header"/>
        <w:numPr>
          <w:ilvl w:val="0"/>
          <w:numId w:val="2"/>
        </w:numPr>
        <w:ind w:left="426" w:hanging="426"/>
        <w:rPr>
          <w:rFonts w:asciiTheme="minorBidi" w:hAnsiTheme="minorBidi" w:cstheme="minorBidi"/>
          <w:sz w:val="24"/>
        </w:rPr>
      </w:pPr>
      <w:r w:rsidRPr="68755095">
        <w:rPr>
          <w:rFonts w:asciiTheme="minorBidi" w:hAnsiTheme="minorBidi" w:cstheme="minorBidi"/>
          <w:sz w:val="24"/>
        </w:rPr>
        <w:t>The dashboard is evolving,</w:t>
      </w:r>
      <w:r w:rsidR="0C2426BD" w:rsidRPr="68755095">
        <w:rPr>
          <w:rFonts w:asciiTheme="minorBidi" w:hAnsiTheme="minorBidi" w:cstheme="minorBidi"/>
          <w:sz w:val="24"/>
        </w:rPr>
        <w:t xml:space="preserve"> and work is currently being undertaken to explore </w:t>
      </w:r>
      <w:r w:rsidRPr="68755095">
        <w:rPr>
          <w:rFonts w:asciiTheme="minorBidi" w:hAnsiTheme="minorBidi" w:cstheme="minorBidi"/>
          <w:sz w:val="24"/>
        </w:rPr>
        <w:t xml:space="preserve"> a live dashboard.  In future, it</w:t>
      </w:r>
      <w:r w:rsidR="5F2D9EAF" w:rsidRPr="68755095">
        <w:rPr>
          <w:rFonts w:asciiTheme="minorBidi" w:hAnsiTheme="minorBidi" w:cstheme="minorBidi"/>
          <w:sz w:val="24"/>
        </w:rPr>
        <w:t xml:space="preserve"> is hoped that such a development will enable trend analysis to be carried out alongside bespoke reporting. </w:t>
      </w:r>
    </w:p>
    <w:p w14:paraId="779A9CCE" w14:textId="77777777" w:rsidR="00155055" w:rsidRDefault="00155055" w:rsidP="00155055">
      <w:pPr>
        <w:pStyle w:val="Header"/>
        <w:tabs>
          <w:tab w:val="left" w:pos="720"/>
        </w:tabs>
        <w:ind w:left="426" w:hanging="426"/>
        <w:rPr>
          <w:rFonts w:asciiTheme="minorBidi" w:hAnsiTheme="minorBidi" w:cstheme="minorBidi"/>
          <w:sz w:val="24"/>
        </w:rPr>
      </w:pPr>
    </w:p>
    <w:p w14:paraId="017E898B" w14:textId="77777777" w:rsidR="00155055" w:rsidRDefault="00155055" w:rsidP="00155055">
      <w:pPr>
        <w:pStyle w:val="Header"/>
        <w:numPr>
          <w:ilvl w:val="0"/>
          <w:numId w:val="2"/>
        </w:numPr>
        <w:ind w:left="426" w:hanging="426"/>
        <w:rPr>
          <w:rFonts w:asciiTheme="minorBidi" w:hAnsiTheme="minorBidi" w:cstheme="minorBidi"/>
          <w:sz w:val="24"/>
        </w:rPr>
      </w:pPr>
      <w:r w:rsidRPr="68755095">
        <w:rPr>
          <w:rFonts w:asciiTheme="minorBidi" w:hAnsiTheme="minorBidi" w:cstheme="minorBidi"/>
          <w:sz w:val="24"/>
        </w:rPr>
        <w:t xml:space="preserve">LD confirmed a review of the HTA’s backup management policy has been completed. </w:t>
      </w:r>
    </w:p>
    <w:p w14:paraId="6E6F52F7" w14:textId="77777777" w:rsidR="00155055" w:rsidRDefault="00155055" w:rsidP="00155055">
      <w:pPr>
        <w:pStyle w:val="Header"/>
        <w:tabs>
          <w:tab w:val="left" w:pos="720"/>
        </w:tabs>
        <w:ind w:left="426" w:hanging="426"/>
      </w:pPr>
    </w:p>
    <w:p w14:paraId="3FCEB3C9" w14:textId="77777777" w:rsidR="00155055" w:rsidRDefault="00155055" w:rsidP="00155055">
      <w:pPr>
        <w:pStyle w:val="ListParagraph"/>
        <w:numPr>
          <w:ilvl w:val="0"/>
          <w:numId w:val="2"/>
        </w:numPr>
        <w:ind w:left="426" w:hanging="426"/>
      </w:pPr>
      <w:r>
        <w:t>The Committee noted the Cyber Security Quarterly Report.</w:t>
      </w:r>
    </w:p>
    <w:p w14:paraId="77D3F42B" w14:textId="77777777" w:rsidR="00155055" w:rsidRDefault="00155055" w:rsidP="00155055"/>
    <w:p w14:paraId="194B00C5" w14:textId="77777777" w:rsidR="00155055" w:rsidRDefault="00155055" w:rsidP="00155055">
      <w:pPr>
        <w:ind w:left="29"/>
        <w:rPr>
          <w:b/>
          <w:bCs/>
          <w:sz w:val="28"/>
          <w:szCs w:val="28"/>
        </w:rPr>
      </w:pPr>
      <w:r>
        <w:rPr>
          <w:b/>
          <w:bCs/>
          <w:sz w:val="28"/>
          <w:szCs w:val="28"/>
        </w:rPr>
        <w:t>Item 9 - Information Security – Annual SIRO Report [AUD 23/23]</w:t>
      </w:r>
    </w:p>
    <w:p w14:paraId="6D6955D0" w14:textId="77777777" w:rsidR="00155055" w:rsidRDefault="00155055" w:rsidP="00155055">
      <w:pPr>
        <w:ind w:left="426" w:hanging="426"/>
      </w:pPr>
    </w:p>
    <w:p w14:paraId="7D0DFB01" w14:textId="77777777" w:rsidR="00155055" w:rsidRDefault="00155055" w:rsidP="00155055">
      <w:pPr>
        <w:pStyle w:val="ListParagraph"/>
        <w:numPr>
          <w:ilvl w:val="0"/>
          <w:numId w:val="2"/>
        </w:numPr>
        <w:ind w:left="567" w:hanging="567"/>
        <w:rPr>
          <w:rFonts w:asciiTheme="minorBidi" w:hAnsiTheme="minorBidi"/>
        </w:rPr>
      </w:pPr>
      <w:r w:rsidRPr="68755095">
        <w:rPr>
          <w:rFonts w:asciiTheme="minorBidi" w:hAnsiTheme="minorBidi"/>
        </w:rPr>
        <w:t xml:space="preserve">Richard Sydee gave an update on the annual assessment of the HTA’s information risk management.  </w:t>
      </w:r>
    </w:p>
    <w:p w14:paraId="1C634BAD" w14:textId="77777777" w:rsidR="00155055" w:rsidRDefault="00155055" w:rsidP="00155055">
      <w:pPr>
        <w:ind w:left="1418" w:hanging="1418"/>
        <w:rPr>
          <w:rFonts w:asciiTheme="minorBidi" w:hAnsiTheme="minorBidi"/>
        </w:rPr>
      </w:pPr>
    </w:p>
    <w:p w14:paraId="285AFE7F" w14:textId="77777777" w:rsidR="00155055" w:rsidRDefault="00155055" w:rsidP="00155055">
      <w:pPr>
        <w:pStyle w:val="ListParagraph"/>
        <w:numPr>
          <w:ilvl w:val="0"/>
          <w:numId w:val="2"/>
        </w:numPr>
        <w:ind w:left="567" w:hanging="567"/>
        <w:rPr>
          <w:rFonts w:asciiTheme="minorBidi" w:hAnsiTheme="minorBidi"/>
        </w:rPr>
      </w:pPr>
      <w:r w:rsidRPr="68755095">
        <w:rPr>
          <w:rFonts w:asciiTheme="minorBidi" w:hAnsiTheme="minorBidi"/>
        </w:rPr>
        <w:t>He outlined all the positive work carried out over the past 18 months to support the HTA’s approach to managing information risks and to ensure good information governance, in particular as the potential for cyber risk increases. The executive team have been given assurance that information risks are being mitigated.</w:t>
      </w:r>
    </w:p>
    <w:p w14:paraId="45E20F06" w14:textId="77777777" w:rsidR="00155055" w:rsidRDefault="00155055" w:rsidP="00155055">
      <w:pPr>
        <w:tabs>
          <w:tab w:val="num" w:pos="567"/>
        </w:tabs>
        <w:ind w:left="426" w:hanging="3090"/>
        <w:rPr>
          <w:rFonts w:asciiTheme="minorBidi" w:hAnsiTheme="minorBidi"/>
        </w:rPr>
      </w:pPr>
    </w:p>
    <w:p w14:paraId="0C673E90" w14:textId="77777777" w:rsidR="00155055" w:rsidRDefault="00155055" w:rsidP="00155055">
      <w:pPr>
        <w:pStyle w:val="ListParagraph"/>
        <w:numPr>
          <w:ilvl w:val="0"/>
          <w:numId w:val="2"/>
        </w:numPr>
        <w:ind w:left="567" w:hanging="567"/>
      </w:pPr>
      <w:r w:rsidRPr="68755095">
        <w:rPr>
          <w:rFonts w:asciiTheme="minorBidi" w:hAnsiTheme="minorBidi"/>
        </w:rPr>
        <w:t>The policy on the management of data breaches (actual or potential) was reviewed and updated i</w:t>
      </w:r>
      <w:r>
        <w:t xml:space="preserve">n 2022/23.  </w:t>
      </w:r>
      <w:r w:rsidRPr="68755095">
        <w:rPr>
          <w:rFonts w:asciiTheme="minorBidi" w:hAnsiTheme="minorBidi"/>
        </w:rPr>
        <w:t>HD asked for more detail about the timeframes for the actions around management of data breaches in the report.  This was noted.</w:t>
      </w:r>
    </w:p>
    <w:p w14:paraId="6FD7C492" w14:textId="77777777" w:rsidR="00155055" w:rsidRDefault="00155055" w:rsidP="00155055">
      <w:pPr>
        <w:ind w:left="567" w:hanging="567"/>
        <w:rPr>
          <w:rFonts w:asciiTheme="minorBidi" w:hAnsiTheme="minorBidi"/>
        </w:rPr>
      </w:pPr>
    </w:p>
    <w:p w14:paraId="439CFFF6" w14:textId="77777777" w:rsidR="00155055" w:rsidRDefault="00155055" w:rsidP="00155055">
      <w:pPr>
        <w:pStyle w:val="ListParagraph"/>
        <w:numPr>
          <w:ilvl w:val="0"/>
          <w:numId w:val="2"/>
        </w:numPr>
        <w:ind w:left="567" w:hanging="567"/>
        <w:rPr>
          <w:rFonts w:asciiTheme="minorBidi" w:hAnsiTheme="minorBidi"/>
        </w:rPr>
      </w:pPr>
      <w:r w:rsidRPr="68755095">
        <w:rPr>
          <w:rFonts w:asciiTheme="minorBidi" w:hAnsiTheme="minorBidi"/>
        </w:rPr>
        <w:t xml:space="preserve">The ARAC noted the challenges shown around records management and DSPT in the internal audit.  The SIRO report illustrates that the HTA will be able to mitigate these challenges and improve in these areas.  </w:t>
      </w:r>
    </w:p>
    <w:p w14:paraId="791461FF" w14:textId="77777777" w:rsidR="00155055" w:rsidRDefault="00155055" w:rsidP="00155055">
      <w:pPr>
        <w:tabs>
          <w:tab w:val="num" w:pos="567"/>
        </w:tabs>
        <w:ind w:left="426" w:hanging="3090"/>
        <w:rPr>
          <w:rFonts w:asciiTheme="minorBidi" w:hAnsiTheme="minorBidi"/>
        </w:rPr>
      </w:pPr>
    </w:p>
    <w:p w14:paraId="1E00677A" w14:textId="77777777" w:rsidR="00155055" w:rsidRDefault="00155055" w:rsidP="00155055">
      <w:pPr>
        <w:pStyle w:val="ListParagraph"/>
        <w:numPr>
          <w:ilvl w:val="0"/>
          <w:numId w:val="2"/>
        </w:numPr>
        <w:tabs>
          <w:tab w:val="num" w:pos="567"/>
        </w:tabs>
        <w:ind w:hanging="3090"/>
        <w:rPr>
          <w:rFonts w:asciiTheme="minorBidi" w:hAnsiTheme="minorBidi"/>
        </w:rPr>
      </w:pPr>
      <w:r w:rsidRPr="68755095">
        <w:rPr>
          <w:rFonts w:asciiTheme="minorBidi" w:hAnsiTheme="minorBidi"/>
        </w:rPr>
        <w:t xml:space="preserve">Committee Members noted the report. </w:t>
      </w:r>
    </w:p>
    <w:p w14:paraId="108E8645" w14:textId="77777777" w:rsidR="00155055" w:rsidRDefault="00155055" w:rsidP="00155055">
      <w:pPr>
        <w:ind w:left="29"/>
      </w:pPr>
    </w:p>
    <w:p w14:paraId="1B75BF3C" w14:textId="77777777" w:rsidR="00A30BB3" w:rsidRDefault="00A30BB3" w:rsidP="00155055">
      <w:pPr>
        <w:ind w:left="29"/>
        <w:rPr>
          <w:b/>
          <w:bCs/>
          <w:sz w:val="28"/>
          <w:szCs w:val="28"/>
        </w:rPr>
      </w:pPr>
    </w:p>
    <w:p w14:paraId="2B1037F2" w14:textId="77777777" w:rsidR="00A30BB3" w:rsidRDefault="00A30BB3" w:rsidP="00155055">
      <w:pPr>
        <w:ind w:left="29"/>
        <w:rPr>
          <w:b/>
          <w:bCs/>
          <w:sz w:val="28"/>
          <w:szCs w:val="28"/>
        </w:rPr>
      </w:pPr>
    </w:p>
    <w:p w14:paraId="46C1BB77" w14:textId="0F362403" w:rsidR="00155055" w:rsidRDefault="00155055" w:rsidP="00155055">
      <w:pPr>
        <w:ind w:left="29"/>
        <w:rPr>
          <w:b/>
          <w:bCs/>
          <w:sz w:val="28"/>
          <w:szCs w:val="28"/>
        </w:rPr>
      </w:pPr>
      <w:r>
        <w:rPr>
          <w:b/>
          <w:bCs/>
          <w:sz w:val="28"/>
          <w:szCs w:val="28"/>
        </w:rPr>
        <w:lastRenderedPageBreak/>
        <w:t>Item 10 – Data Security and Protection Toolkit (verbal)</w:t>
      </w:r>
    </w:p>
    <w:p w14:paraId="11419921" w14:textId="77777777" w:rsidR="00155055" w:rsidRDefault="00155055" w:rsidP="00155055">
      <w:pPr>
        <w:ind w:left="567" w:hanging="567"/>
      </w:pPr>
    </w:p>
    <w:p w14:paraId="1C9C32C0" w14:textId="1CC1B005" w:rsidR="00155055" w:rsidRDefault="00155055" w:rsidP="00155055">
      <w:pPr>
        <w:pStyle w:val="ListParagraph"/>
        <w:numPr>
          <w:ilvl w:val="0"/>
          <w:numId w:val="2"/>
        </w:numPr>
        <w:ind w:left="567" w:hanging="567"/>
        <w:rPr>
          <w:rStyle w:val="normaltextrun"/>
          <w:color w:val="000000"/>
          <w:shd w:val="clear" w:color="auto" w:fill="FFFFFF"/>
        </w:rPr>
      </w:pPr>
      <w:r>
        <w:rPr>
          <w:rStyle w:val="normaltextrun"/>
          <w:color w:val="000000"/>
          <w:shd w:val="clear" w:color="auto" w:fill="FFFFFF"/>
        </w:rPr>
        <w:t>Louise Dineley (LD) gave a status report highlighting the work that the HTA has done in preparation for HTA’s DSPT submission</w:t>
      </w:r>
      <w:r w:rsidR="2259459E">
        <w:rPr>
          <w:rStyle w:val="normaltextrun"/>
          <w:color w:val="000000"/>
          <w:shd w:val="clear" w:color="auto" w:fill="FFFFFF"/>
        </w:rPr>
        <w:t>.</w:t>
      </w:r>
      <w:r>
        <w:rPr>
          <w:rStyle w:val="normaltextrun"/>
          <w:color w:val="000000"/>
          <w:shd w:val="clear" w:color="auto" w:fill="FFFFFF"/>
        </w:rPr>
        <w:t xml:space="preserve"> The internal audit fieldwork for the DPST assessment was completed by Friday 2 June.  </w:t>
      </w:r>
    </w:p>
    <w:p w14:paraId="2F53A639" w14:textId="77777777" w:rsidR="00155055" w:rsidRDefault="00155055" w:rsidP="00155055">
      <w:pPr>
        <w:ind w:left="567" w:hanging="567"/>
        <w:rPr>
          <w:rStyle w:val="normaltextrun"/>
          <w:color w:val="000000"/>
          <w:shd w:val="clear" w:color="auto" w:fill="FFFFFF"/>
        </w:rPr>
      </w:pPr>
    </w:p>
    <w:p w14:paraId="371CB492" w14:textId="4C77EE4D" w:rsidR="00155055" w:rsidRDefault="00155055" w:rsidP="00155055">
      <w:pPr>
        <w:pStyle w:val="ListParagraph"/>
        <w:numPr>
          <w:ilvl w:val="0"/>
          <w:numId w:val="2"/>
        </w:numPr>
        <w:ind w:left="567" w:hanging="567"/>
        <w:rPr>
          <w:rStyle w:val="normaltextrun"/>
          <w:color w:val="000000"/>
          <w:shd w:val="clear" w:color="auto" w:fill="FFFFFF"/>
        </w:rPr>
      </w:pPr>
      <w:r>
        <w:rPr>
          <w:rStyle w:val="normaltextrun"/>
          <w:color w:val="000000"/>
          <w:shd w:val="clear" w:color="auto" w:fill="FFFFFF"/>
        </w:rPr>
        <w:t xml:space="preserve">LD and her team have been working with the auditors across each of the 44 assertions for the June 2023 assessment and submission.  Fieldwork completed on Wednesday 7 June, this still needs to go through the internal auditor’s process.  </w:t>
      </w:r>
      <w:r w:rsidR="70E523CD">
        <w:rPr>
          <w:rStyle w:val="normaltextrun"/>
          <w:color w:val="000000"/>
          <w:shd w:val="clear" w:color="auto" w:fill="FFFFFF"/>
        </w:rPr>
        <w:t>Initial findings suggest an</w:t>
      </w:r>
      <w:r>
        <w:rPr>
          <w:rStyle w:val="normaltextrun"/>
          <w:color w:val="000000"/>
          <w:shd w:val="clear" w:color="auto" w:fill="FFFFFF"/>
        </w:rPr>
        <w:t xml:space="preserve"> improvement </w:t>
      </w:r>
      <w:r w:rsidR="28BFDC02">
        <w:rPr>
          <w:rStyle w:val="normaltextrun"/>
          <w:color w:val="000000"/>
          <w:shd w:val="clear" w:color="auto" w:fill="FFFFFF"/>
        </w:rPr>
        <w:t xml:space="preserve">on the </w:t>
      </w:r>
      <w:r>
        <w:rPr>
          <w:rStyle w:val="normaltextrun"/>
          <w:color w:val="000000"/>
          <w:shd w:val="clear" w:color="auto" w:fill="FFFFFF"/>
        </w:rPr>
        <w:t xml:space="preserve"> 2022</w:t>
      </w:r>
      <w:r w:rsidR="1BE100C4">
        <w:rPr>
          <w:rStyle w:val="normaltextrun"/>
          <w:color w:val="000000"/>
          <w:shd w:val="clear" w:color="auto" w:fill="FFFFFF"/>
        </w:rPr>
        <w:t xml:space="preserve"> assessment</w:t>
      </w:r>
    </w:p>
    <w:p w14:paraId="6348130A" w14:textId="77777777" w:rsidR="00155055" w:rsidRDefault="00155055" w:rsidP="00155055">
      <w:pPr>
        <w:ind w:left="567" w:hanging="567"/>
        <w:rPr>
          <w:rStyle w:val="normaltextrun"/>
          <w:color w:val="000000"/>
          <w:shd w:val="clear" w:color="auto" w:fill="FFFFFF"/>
        </w:rPr>
      </w:pPr>
    </w:p>
    <w:p w14:paraId="5F0F43D8" w14:textId="77777777" w:rsidR="00155055" w:rsidRDefault="00155055" w:rsidP="00155055">
      <w:pPr>
        <w:pStyle w:val="ListParagraph"/>
        <w:numPr>
          <w:ilvl w:val="0"/>
          <w:numId w:val="2"/>
        </w:numPr>
        <w:ind w:left="567" w:hanging="567"/>
        <w:rPr>
          <w:rStyle w:val="normaltextrun"/>
          <w:color w:val="000000"/>
          <w:shd w:val="clear" w:color="auto" w:fill="FFFFFF"/>
        </w:rPr>
      </w:pPr>
      <w:r>
        <w:rPr>
          <w:rStyle w:val="normaltextrun"/>
          <w:color w:val="000000"/>
          <w:shd w:val="clear" w:color="auto" w:fill="FFFFFF"/>
        </w:rPr>
        <w:t>The final submission is 30 June.</w:t>
      </w:r>
    </w:p>
    <w:p w14:paraId="67AA8DCF" w14:textId="77777777" w:rsidR="00155055" w:rsidRDefault="00155055" w:rsidP="00FD401B">
      <w:pPr>
        <w:ind w:left="567" w:hanging="567"/>
        <w:rPr>
          <w:rStyle w:val="normaltextrun"/>
          <w:color w:val="000000"/>
          <w:shd w:val="clear" w:color="auto" w:fill="FFFFFF"/>
        </w:rPr>
      </w:pPr>
    </w:p>
    <w:p w14:paraId="6D899E84" w14:textId="77777777" w:rsidR="00FD401B" w:rsidRDefault="00155055" w:rsidP="00FD401B">
      <w:pPr>
        <w:ind w:left="567" w:hanging="567"/>
      </w:pPr>
      <w:r>
        <w:t xml:space="preserve">  </w:t>
      </w:r>
      <w:r w:rsidR="00335356">
        <w:tab/>
      </w:r>
      <w:r>
        <w:t>GC asked if a trajectory showing DSPT reporting could be included within the business plan to show any improvements made and progress. LD adde</w:t>
      </w:r>
      <w:r w:rsidR="42510552">
        <w:t>d assertions</w:t>
      </w:r>
      <w:r>
        <w:t xml:space="preserve"> change from year to year, so this would not be reflective of all the controls in place</w:t>
      </w:r>
      <w:r w:rsidR="0AD5F8B1">
        <w:t xml:space="preserve"> or </w:t>
      </w:r>
      <w:r w:rsidR="3936D40E">
        <w:t xml:space="preserve">the level of </w:t>
      </w:r>
      <w:r w:rsidR="0AD5F8B1">
        <w:t>compliance</w:t>
      </w:r>
      <w:r w:rsidR="2EE00290">
        <w:t xml:space="preserve"> </w:t>
      </w:r>
    </w:p>
    <w:p w14:paraId="4D846720" w14:textId="77777777" w:rsidR="00FD401B" w:rsidRDefault="00FD401B" w:rsidP="00FD401B">
      <w:pPr>
        <w:ind w:left="567" w:hanging="567"/>
      </w:pPr>
    </w:p>
    <w:p w14:paraId="2C9E7C17" w14:textId="35F90F3A" w:rsidR="00155055" w:rsidRDefault="00FD401B" w:rsidP="00FD401B">
      <w:pPr>
        <w:ind w:left="567" w:hanging="567"/>
      </w:pPr>
      <w:r>
        <w:t>38.</w:t>
      </w:r>
      <w:r>
        <w:tab/>
      </w:r>
      <w:r w:rsidR="00155055">
        <w:t xml:space="preserve">The Committee noted the DSPT’s progress.  </w:t>
      </w:r>
    </w:p>
    <w:p w14:paraId="570B43D0" w14:textId="77777777" w:rsidR="00155055" w:rsidRDefault="00155055" w:rsidP="00155055">
      <w:pPr>
        <w:ind w:left="426" w:hanging="426"/>
      </w:pPr>
    </w:p>
    <w:p w14:paraId="66356B03" w14:textId="77777777" w:rsidR="00155055" w:rsidRDefault="00155055" w:rsidP="00155055">
      <w:pPr>
        <w:pStyle w:val="Heading1"/>
        <w:spacing w:before="0"/>
        <w:ind w:left="426" w:hanging="426"/>
      </w:pPr>
      <w:r>
        <w:t>Item 10 – Risk Update [AUD 24/23]</w:t>
      </w:r>
    </w:p>
    <w:p w14:paraId="2A5733DF" w14:textId="77777777" w:rsidR="00155055" w:rsidRDefault="00155055" w:rsidP="00155055">
      <w:pPr>
        <w:ind w:left="426" w:hanging="426"/>
        <w:rPr>
          <w:bCs/>
        </w:rPr>
      </w:pPr>
    </w:p>
    <w:p w14:paraId="0D907941" w14:textId="2712D81C" w:rsidR="00BB2913" w:rsidRDefault="00155055" w:rsidP="00FD401B">
      <w:pPr>
        <w:pStyle w:val="ListParagraph"/>
        <w:numPr>
          <w:ilvl w:val="0"/>
          <w:numId w:val="6"/>
        </w:numPr>
        <w:ind w:left="567" w:hanging="567"/>
        <w:rPr>
          <w:rFonts w:asciiTheme="minorBidi" w:hAnsiTheme="minorBidi"/>
        </w:rPr>
      </w:pPr>
      <w:r w:rsidRPr="00BB2913">
        <w:rPr>
          <w:rFonts w:asciiTheme="minorBidi" w:hAnsiTheme="minorBidi"/>
        </w:rPr>
        <w:t>Richard Sydee</w:t>
      </w:r>
      <w:r w:rsidRPr="00BB2913">
        <w:rPr>
          <w:rFonts w:asciiTheme="minorBidi" w:hAnsiTheme="minorBidi"/>
          <w:b/>
          <w:bCs/>
        </w:rPr>
        <w:t xml:space="preserve"> </w:t>
      </w:r>
      <w:r w:rsidRPr="00BB2913">
        <w:rPr>
          <w:rFonts w:asciiTheme="minorBidi" w:hAnsiTheme="minorBidi"/>
        </w:rPr>
        <w:t>provided the Committee with an update on strategic risks and proposed mitigations as of May 2023.  The Committee were asked to comment on the strategic risks and assurances within the HTA Summary Strategic Risk Register attached to the paper at Annex A</w:t>
      </w:r>
      <w:r w:rsidR="00BB2913">
        <w:rPr>
          <w:rFonts w:asciiTheme="minorBidi" w:hAnsiTheme="minorBidi"/>
        </w:rPr>
        <w:t>.</w:t>
      </w:r>
      <w:r w:rsidRPr="00BB2913">
        <w:rPr>
          <w:rFonts w:asciiTheme="minorBidi" w:hAnsiTheme="minorBidi"/>
        </w:rPr>
        <w:t>.</w:t>
      </w:r>
      <w:r w:rsidR="00BB2913">
        <w:rPr>
          <w:rFonts w:asciiTheme="minorBidi" w:hAnsiTheme="minorBidi"/>
        </w:rPr>
        <w:t xml:space="preserve"> </w:t>
      </w:r>
    </w:p>
    <w:p w14:paraId="679FC858" w14:textId="77777777" w:rsidR="003C1A10" w:rsidRDefault="003C1A10" w:rsidP="003C1A10">
      <w:pPr>
        <w:pStyle w:val="ListParagraph"/>
        <w:ind w:left="426"/>
        <w:rPr>
          <w:rFonts w:asciiTheme="minorBidi" w:hAnsiTheme="minorBidi"/>
        </w:rPr>
      </w:pPr>
    </w:p>
    <w:p w14:paraId="56CF66B6" w14:textId="651A0224" w:rsidR="00A30BB3" w:rsidRPr="007657FF" w:rsidRDefault="003C1A10" w:rsidP="00FD401B">
      <w:pPr>
        <w:pStyle w:val="ListParagraph"/>
        <w:numPr>
          <w:ilvl w:val="0"/>
          <w:numId w:val="6"/>
        </w:numPr>
        <w:ind w:left="426" w:hanging="426"/>
      </w:pPr>
      <w:r>
        <w:rPr>
          <w:rFonts w:asciiTheme="minorBidi" w:hAnsiTheme="minorBidi"/>
        </w:rPr>
        <w:t>The committee discussed the progress being made to mitigate risks.  The HTA face challenges because of increased external governance.  HD asked if the threat of Artificial Intelligence (AI) has been looked at as part of Risk 7 – Failure to optimise the safe use of existing and emerging data and technology.  LD responded at present the HTA had not done any work on this in relation to licensed establishments although this would be explored in the future.</w:t>
      </w:r>
    </w:p>
    <w:p w14:paraId="3A1076D3" w14:textId="77777777" w:rsidR="007657FF" w:rsidRDefault="007657FF" w:rsidP="007657FF"/>
    <w:p w14:paraId="46B48677" w14:textId="77777777" w:rsidR="00155055" w:rsidRDefault="00155055" w:rsidP="00FD401B">
      <w:pPr>
        <w:pStyle w:val="ListParagraph"/>
        <w:numPr>
          <w:ilvl w:val="0"/>
          <w:numId w:val="6"/>
        </w:numPr>
        <w:ind w:left="426" w:hanging="426"/>
        <w:rPr>
          <w:rFonts w:asciiTheme="minorBidi" w:hAnsiTheme="minorBidi"/>
        </w:rPr>
      </w:pPr>
      <w:r w:rsidRPr="2A410A7A">
        <w:rPr>
          <w:rFonts w:asciiTheme="minorBidi" w:hAnsiTheme="minorBidi"/>
        </w:rPr>
        <w:t>CS confirmed to mitigate Risk 4,</w:t>
      </w:r>
      <w:r w:rsidRPr="2A410A7A">
        <w:rPr>
          <w:rFonts w:eastAsia="Calibri"/>
          <w:lang w:eastAsia="en-US"/>
        </w:rPr>
        <w:t xml:space="preserve"> Failure to utilise our staff capabilities effectively, the HTA is committed to EDI (Equality, Diversity and Inclusion) and this is incorporated into the recruitment and retention of established staff.  </w:t>
      </w:r>
    </w:p>
    <w:p w14:paraId="169752CF" w14:textId="77777777" w:rsidR="00155055" w:rsidRDefault="00155055" w:rsidP="00155055">
      <w:pPr>
        <w:ind w:left="426" w:hanging="426"/>
        <w:rPr>
          <w:rFonts w:asciiTheme="minorBidi" w:hAnsiTheme="minorBidi"/>
        </w:rPr>
      </w:pPr>
    </w:p>
    <w:p w14:paraId="46507EEE" w14:textId="6CBD91C9" w:rsidR="00155055" w:rsidRDefault="00155055" w:rsidP="00FD401B">
      <w:pPr>
        <w:pStyle w:val="ListParagraph"/>
        <w:numPr>
          <w:ilvl w:val="0"/>
          <w:numId w:val="6"/>
        </w:numPr>
        <w:ind w:left="426" w:hanging="426"/>
        <w:rPr>
          <w:rFonts w:asciiTheme="minorBidi" w:hAnsiTheme="minorBidi"/>
        </w:rPr>
      </w:pPr>
      <w:r w:rsidRPr="12C49410">
        <w:rPr>
          <w:rFonts w:asciiTheme="minorBidi" w:hAnsiTheme="minorBidi"/>
        </w:rPr>
        <w:t>G</w:t>
      </w:r>
      <w:r w:rsidR="04E664BA" w:rsidRPr="12C49410">
        <w:rPr>
          <w:rFonts w:asciiTheme="minorBidi" w:hAnsiTheme="minorBidi"/>
        </w:rPr>
        <w:t>C</w:t>
      </w:r>
      <w:r w:rsidRPr="12C49410">
        <w:rPr>
          <w:rFonts w:asciiTheme="minorBidi" w:hAnsiTheme="minorBidi"/>
        </w:rPr>
        <w:t xml:space="preserve"> asked for clarification of Risk 8, Failure to deliver the agreed business plan, JMD confirmed this refers to whether the HTA is delivering business priorities </w:t>
      </w:r>
      <w:r w:rsidR="00E77347" w:rsidRPr="12C49410">
        <w:rPr>
          <w:rFonts w:asciiTheme="minorBidi" w:hAnsiTheme="minorBidi"/>
        </w:rPr>
        <w:t>and so for</w:t>
      </w:r>
      <w:r w:rsidRPr="12C49410">
        <w:rPr>
          <w:rFonts w:asciiTheme="minorBidi" w:hAnsiTheme="minorBidi"/>
        </w:rPr>
        <w:t xml:space="preserve"> </w:t>
      </w:r>
      <w:r w:rsidR="00360B48" w:rsidRPr="12C49410">
        <w:rPr>
          <w:rFonts w:asciiTheme="minorBidi" w:hAnsiTheme="minorBidi"/>
        </w:rPr>
        <w:t xml:space="preserve">core operations </w:t>
      </w:r>
      <w:r w:rsidR="00E77347" w:rsidRPr="12C49410">
        <w:rPr>
          <w:rFonts w:asciiTheme="minorBidi" w:hAnsiTheme="minorBidi"/>
        </w:rPr>
        <w:t>relates</w:t>
      </w:r>
      <w:r w:rsidRPr="12C49410">
        <w:rPr>
          <w:rFonts w:asciiTheme="minorBidi" w:hAnsiTheme="minorBidi"/>
        </w:rPr>
        <w:t xml:space="preserve"> </w:t>
      </w:r>
      <w:r w:rsidR="00E77347" w:rsidRPr="12C49410">
        <w:rPr>
          <w:rFonts w:asciiTheme="minorBidi" w:hAnsiTheme="minorBidi"/>
        </w:rPr>
        <w:t xml:space="preserve">to </w:t>
      </w:r>
      <w:r w:rsidR="00360B48" w:rsidRPr="12C49410">
        <w:rPr>
          <w:rFonts w:asciiTheme="minorBidi" w:hAnsiTheme="minorBidi"/>
        </w:rPr>
        <w:t xml:space="preserve">achieving our </w:t>
      </w:r>
      <w:r w:rsidRPr="12C49410">
        <w:rPr>
          <w:rFonts w:asciiTheme="minorBidi" w:hAnsiTheme="minorBidi"/>
        </w:rPr>
        <w:t xml:space="preserve">KPIs </w:t>
      </w:r>
      <w:r w:rsidR="00360B48" w:rsidRPr="12C49410">
        <w:rPr>
          <w:rFonts w:asciiTheme="minorBidi" w:hAnsiTheme="minorBidi"/>
        </w:rPr>
        <w:t>and for change activities relates to delivering our projects, as</w:t>
      </w:r>
      <w:r w:rsidRPr="12C49410">
        <w:rPr>
          <w:rFonts w:asciiTheme="minorBidi" w:hAnsiTheme="minorBidi"/>
        </w:rPr>
        <w:t xml:space="preserve"> set out at the beginning of the year.</w:t>
      </w:r>
    </w:p>
    <w:p w14:paraId="19223EFD" w14:textId="77777777" w:rsidR="00155055" w:rsidRDefault="00155055" w:rsidP="00155055">
      <w:pPr>
        <w:ind w:left="426" w:hanging="426"/>
        <w:rPr>
          <w:rFonts w:asciiTheme="minorBidi" w:hAnsiTheme="minorBidi"/>
        </w:rPr>
      </w:pPr>
    </w:p>
    <w:p w14:paraId="51D7312C" w14:textId="77777777" w:rsidR="00155055" w:rsidRDefault="00155055" w:rsidP="00FD401B">
      <w:pPr>
        <w:pStyle w:val="ListParagraph"/>
        <w:numPr>
          <w:ilvl w:val="0"/>
          <w:numId w:val="6"/>
        </w:numPr>
        <w:ind w:left="426" w:hanging="426"/>
        <w:rPr>
          <w:rFonts w:asciiTheme="minorBidi" w:hAnsiTheme="minorBidi"/>
        </w:rPr>
      </w:pPr>
      <w:r w:rsidRPr="2A410A7A">
        <w:rPr>
          <w:rFonts w:asciiTheme="minorBidi" w:hAnsiTheme="minorBidi"/>
        </w:rPr>
        <w:t xml:space="preserve">GC was concerned about the number of risks presented and the effect of this on the HTA’s reputation and suggested they could be presented in a more succinct way.  </w:t>
      </w:r>
    </w:p>
    <w:p w14:paraId="33EF0956" w14:textId="77777777" w:rsidR="00155055" w:rsidRDefault="00155055" w:rsidP="00C66CD9">
      <w:pPr>
        <w:rPr>
          <w:rFonts w:asciiTheme="minorBidi" w:hAnsiTheme="minorBidi"/>
        </w:rPr>
      </w:pPr>
    </w:p>
    <w:p w14:paraId="7445EB60" w14:textId="77777777" w:rsidR="00155055" w:rsidRDefault="00155055" w:rsidP="00FD401B">
      <w:pPr>
        <w:pStyle w:val="ListParagraph"/>
        <w:numPr>
          <w:ilvl w:val="0"/>
          <w:numId w:val="6"/>
        </w:numPr>
        <w:ind w:left="426" w:hanging="426"/>
        <w:rPr>
          <w:rFonts w:asciiTheme="minorBidi" w:hAnsiTheme="minorBidi"/>
        </w:rPr>
      </w:pPr>
      <w:r w:rsidRPr="2A410A7A">
        <w:rPr>
          <w:rFonts w:asciiTheme="minorBidi" w:hAnsiTheme="minorBidi"/>
        </w:rPr>
        <w:t xml:space="preserve">The Committee noted the Strategic Risk Register Summary.  </w:t>
      </w:r>
    </w:p>
    <w:p w14:paraId="41A95B91" w14:textId="77777777" w:rsidR="00155055" w:rsidRDefault="00155055" w:rsidP="00C66CD9">
      <w:pPr>
        <w:rPr>
          <w:rFonts w:asciiTheme="minorBidi" w:hAnsiTheme="minorBidi"/>
          <w:sz w:val="28"/>
          <w:szCs w:val="28"/>
        </w:rPr>
      </w:pPr>
    </w:p>
    <w:p w14:paraId="192AA072" w14:textId="77777777" w:rsidR="00155055" w:rsidRDefault="00155055" w:rsidP="00155055">
      <w:pPr>
        <w:rPr>
          <w:b/>
          <w:bCs/>
          <w:sz w:val="28"/>
          <w:szCs w:val="28"/>
        </w:rPr>
      </w:pPr>
      <w:r>
        <w:rPr>
          <w:b/>
          <w:bCs/>
          <w:sz w:val="28"/>
          <w:szCs w:val="28"/>
        </w:rPr>
        <w:lastRenderedPageBreak/>
        <w:t>Item 12 – Regular Reporting – Policies and Procedures</w:t>
      </w:r>
    </w:p>
    <w:p w14:paraId="1359F5EE" w14:textId="77777777" w:rsidR="00155055" w:rsidRDefault="00155055" w:rsidP="00155055">
      <w:pPr>
        <w:rPr>
          <w:rFonts w:asciiTheme="minorBidi" w:hAnsiTheme="minorBidi"/>
          <w:b/>
          <w:bCs/>
          <w:sz w:val="28"/>
          <w:szCs w:val="28"/>
        </w:rPr>
      </w:pPr>
      <w:r>
        <w:rPr>
          <w:b/>
          <w:bCs/>
          <w:sz w:val="28"/>
          <w:szCs w:val="28"/>
        </w:rPr>
        <w:t>[AUD 25/23] – Gifts and Hospitality Register</w:t>
      </w:r>
    </w:p>
    <w:p w14:paraId="7D3C6DFE" w14:textId="77777777" w:rsidR="00155055" w:rsidRDefault="00155055" w:rsidP="00155055">
      <w:pPr>
        <w:rPr>
          <w:bCs/>
        </w:rPr>
      </w:pPr>
    </w:p>
    <w:p w14:paraId="1254B4DE" w14:textId="77777777" w:rsidR="00155055" w:rsidRDefault="00155055" w:rsidP="00FD401B">
      <w:pPr>
        <w:pStyle w:val="ListParagraph"/>
        <w:numPr>
          <w:ilvl w:val="0"/>
          <w:numId w:val="6"/>
        </w:numPr>
        <w:ind w:left="567" w:hanging="567"/>
        <w:rPr>
          <w:bCs/>
        </w:rPr>
      </w:pPr>
      <w:r>
        <w:t xml:space="preserve">Morounke Akingbola (MA) presented the register to the Committee.  </w:t>
      </w:r>
    </w:p>
    <w:p w14:paraId="56AB6B69" w14:textId="77777777" w:rsidR="00155055" w:rsidRDefault="00155055" w:rsidP="00155055">
      <w:pPr>
        <w:pStyle w:val="ListParagraph"/>
        <w:ind w:left="567"/>
        <w:rPr>
          <w:bCs/>
        </w:rPr>
      </w:pPr>
    </w:p>
    <w:p w14:paraId="09446EEB" w14:textId="77777777" w:rsidR="00155055" w:rsidRDefault="00155055" w:rsidP="00FD401B">
      <w:pPr>
        <w:pStyle w:val="ListParagraph"/>
        <w:numPr>
          <w:ilvl w:val="0"/>
          <w:numId w:val="6"/>
        </w:numPr>
        <w:spacing w:after="200" w:line="276" w:lineRule="auto"/>
        <w:ind w:left="567" w:hanging="567"/>
        <w:rPr>
          <w:bCs/>
        </w:rPr>
      </w:pPr>
      <w:r>
        <w:t>The Committee noted the Register.</w:t>
      </w:r>
    </w:p>
    <w:p w14:paraId="215FE3B2" w14:textId="77777777" w:rsidR="00155055" w:rsidRDefault="00155055" w:rsidP="00155055">
      <w:pPr>
        <w:pStyle w:val="ListParagraph"/>
        <w:rPr>
          <w:bCs/>
        </w:rPr>
      </w:pPr>
    </w:p>
    <w:p w14:paraId="76AEF196" w14:textId="77777777" w:rsidR="00155055" w:rsidRPr="00BE3D37" w:rsidRDefault="00155055" w:rsidP="00BE3D37">
      <w:pPr>
        <w:spacing w:after="200" w:line="276" w:lineRule="auto"/>
        <w:rPr>
          <w:b/>
          <w:bCs/>
          <w:sz w:val="28"/>
          <w:szCs w:val="28"/>
        </w:rPr>
      </w:pPr>
      <w:r w:rsidRPr="00BE3D37">
        <w:rPr>
          <w:b/>
          <w:bCs/>
          <w:sz w:val="28"/>
          <w:szCs w:val="28"/>
        </w:rPr>
        <w:t>Item 14 – Any other business – Government Functional Standards (AUD 26/23)</w:t>
      </w:r>
    </w:p>
    <w:p w14:paraId="0513067B" w14:textId="77777777" w:rsidR="00094646" w:rsidRDefault="00094646" w:rsidP="00094646">
      <w:pPr>
        <w:ind w:left="567" w:hanging="567"/>
      </w:pPr>
    </w:p>
    <w:p w14:paraId="45EC4AD7" w14:textId="77777777" w:rsidR="00094646" w:rsidRPr="003243E4" w:rsidRDefault="00094646" w:rsidP="00FD401B">
      <w:pPr>
        <w:pStyle w:val="Heading2HTA"/>
        <w:numPr>
          <w:ilvl w:val="0"/>
          <w:numId w:val="6"/>
        </w:numPr>
        <w:spacing w:before="0" w:after="0" w:line="240" w:lineRule="auto"/>
        <w:ind w:left="567" w:hanging="567"/>
        <w:rPr>
          <w:b w:val="0"/>
          <w:bCs w:val="0"/>
          <w:sz w:val="24"/>
          <w:szCs w:val="24"/>
        </w:rPr>
      </w:pPr>
      <w:r w:rsidRPr="2A410A7A">
        <w:rPr>
          <w:b w:val="0"/>
          <w:bCs w:val="0"/>
          <w:sz w:val="24"/>
          <w:szCs w:val="24"/>
        </w:rPr>
        <w:t xml:space="preserve">JMD presented the Government Functional Standards paper which gives an update on work carried out in 2022/2023, there will be further work in 2023/2024 building on the position outlined in the paper ahead of the internal audit in 2024/2025. </w:t>
      </w:r>
    </w:p>
    <w:p w14:paraId="14FFEFC0" w14:textId="77777777" w:rsidR="00094646" w:rsidRPr="003243E4" w:rsidRDefault="00094646" w:rsidP="00094646">
      <w:pPr>
        <w:pStyle w:val="Heading2HTA"/>
        <w:spacing w:before="0" w:after="0" w:line="240" w:lineRule="auto"/>
        <w:ind w:left="567" w:hanging="567"/>
        <w:rPr>
          <w:b w:val="0"/>
          <w:bCs w:val="0"/>
          <w:sz w:val="24"/>
          <w:szCs w:val="24"/>
        </w:rPr>
      </w:pPr>
    </w:p>
    <w:p w14:paraId="399D63D4" w14:textId="77777777" w:rsidR="00094646" w:rsidRPr="003243E4" w:rsidRDefault="00094646" w:rsidP="00FD401B">
      <w:pPr>
        <w:pStyle w:val="Heading2HTA"/>
        <w:numPr>
          <w:ilvl w:val="0"/>
          <w:numId w:val="6"/>
        </w:numPr>
        <w:spacing w:before="0" w:after="0" w:line="240" w:lineRule="auto"/>
        <w:ind w:left="567" w:hanging="567"/>
        <w:rPr>
          <w:b w:val="0"/>
          <w:bCs w:val="0"/>
          <w:sz w:val="24"/>
          <w:szCs w:val="24"/>
        </w:rPr>
      </w:pPr>
      <w:r w:rsidRPr="2A410A7A">
        <w:rPr>
          <w:b w:val="0"/>
          <w:bCs w:val="0"/>
          <w:sz w:val="24"/>
          <w:szCs w:val="24"/>
        </w:rPr>
        <w:t xml:space="preserve">The aim is to work to the principles of the standards in a proportionate way that is proportionate to the HTA’s size, scale and risk profile, rather than seeking 100% compliance. </w:t>
      </w:r>
    </w:p>
    <w:p w14:paraId="660B9601" w14:textId="77777777" w:rsidR="00094646" w:rsidRPr="003243E4" w:rsidRDefault="00094646" w:rsidP="00094646">
      <w:pPr>
        <w:pStyle w:val="Heading2HTA"/>
        <w:spacing w:before="0" w:after="0" w:line="240" w:lineRule="auto"/>
        <w:ind w:left="567"/>
        <w:rPr>
          <w:b w:val="0"/>
          <w:bCs w:val="0"/>
          <w:sz w:val="24"/>
          <w:szCs w:val="24"/>
        </w:rPr>
      </w:pPr>
    </w:p>
    <w:p w14:paraId="658683F8" w14:textId="3837C534" w:rsidR="00094646" w:rsidRPr="003243E4" w:rsidRDefault="00094646" w:rsidP="00FD401B">
      <w:pPr>
        <w:pStyle w:val="Heading2HTA"/>
        <w:numPr>
          <w:ilvl w:val="0"/>
          <w:numId w:val="6"/>
        </w:numPr>
        <w:spacing w:before="0" w:after="0" w:line="240" w:lineRule="auto"/>
        <w:ind w:left="567" w:hanging="567"/>
        <w:rPr>
          <w:b w:val="0"/>
          <w:bCs w:val="0"/>
          <w:sz w:val="24"/>
          <w:szCs w:val="24"/>
        </w:rPr>
      </w:pPr>
      <w:r w:rsidRPr="2A410A7A">
        <w:rPr>
          <w:b w:val="0"/>
          <w:bCs w:val="0"/>
          <w:sz w:val="24"/>
          <w:szCs w:val="24"/>
        </w:rPr>
        <w:t>JC added</w:t>
      </w:r>
      <w:r w:rsidR="00BA34B8">
        <w:rPr>
          <w:b w:val="0"/>
          <w:bCs w:val="0"/>
          <w:sz w:val="24"/>
          <w:szCs w:val="24"/>
        </w:rPr>
        <w:t xml:space="preserve"> that it would be helpful for</w:t>
      </w:r>
      <w:r w:rsidRPr="2A410A7A">
        <w:rPr>
          <w:b w:val="0"/>
          <w:bCs w:val="0"/>
          <w:sz w:val="24"/>
          <w:szCs w:val="24"/>
        </w:rPr>
        <w:t xml:space="preserve"> the justifications </w:t>
      </w:r>
      <w:r w:rsidR="00BA34B8">
        <w:rPr>
          <w:b w:val="0"/>
          <w:bCs w:val="0"/>
          <w:sz w:val="24"/>
          <w:szCs w:val="24"/>
        </w:rPr>
        <w:t>for</w:t>
      </w:r>
      <w:r w:rsidRPr="2A410A7A">
        <w:rPr>
          <w:b w:val="0"/>
          <w:bCs w:val="0"/>
          <w:sz w:val="24"/>
          <w:szCs w:val="24"/>
        </w:rPr>
        <w:t xml:space="preserve"> th</w:t>
      </w:r>
      <w:r w:rsidR="00BA34B8">
        <w:rPr>
          <w:b w:val="0"/>
          <w:bCs w:val="0"/>
          <w:sz w:val="24"/>
          <w:szCs w:val="24"/>
        </w:rPr>
        <w:t>e</w:t>
      </w:r>
      <w:r w:rsidRPr="2A410A7A">
        <w:rPr>
          <w:b w:val="0"/>
          <w:bCs w:val="0"/>
          <w:sz w:val="24"/>
          <w:szCs w:val="24"/>
        </w:rPr>
        <w:t xml:space="preserve"> level of compliance </w:t>
      </w:r>
      <w:r w:rsidR="00BA34B8">
        <w:rPr>
          <w:b w:val="0"/>
          <w:bCs w:val="0"/>
          <w:sz w:val="24"/>
          <w:szCs w:val="24"/>
        </w:rPr>
        <w:t xml:space="preserve">to </w:t>
      </w:r>
      <w:r w:rsidRPr="2A410A7A">
        <w:rPr>
          <w:b w:val="0"/>
          <w:bCs w:val="0"/>
          <w:sz w:val="24"/>
          <w:szCs w:val="24"/>
        </w:rPr>
        <w:t>be documented and evidenced ahead of the 2024/2025 internal audit.</w:t>
      </w:r>
    </w:p>
    <w:p w14:paraId="4BEB61FF" w14:textId="77777777" w:rsidR="00155055" w:rsidRDefault="00155055" w:rsidP="00155055"/>
    <w:p w14:paraId="201B5592" w14:textId="77777777" w:rsidR="00155055" w:rsidRDefault="00155055" w:rsidP="00155055">
      <w:pPr>
        <w:rPr>
          <w:b/>
          <w:bCs/>
          <w:sz w:val="28"/>
          <w:szCs w:val="28"/>
        </w:rPr>
      </w:pPr>
      <w:r>
        <w:rPr>
          <w:b/>
          <w:bCs/>
          <w:sz w:val="28"/>
          <w:szCs w:val="28"/>
        </w:rPr>
        <w:t>Item 14 – Any other business – Standing Orders (AUD 27/23)</w:t>
      </w:r>
    </w:p>
    <w:p w14:paraId="53AE8506" w14:textId="77777777" w:rsidR="00155055" w:rsidRDefault="00155055" w:rsidP="00155055">
      <w:pPr>
        <w:ind w:left="567" w:hanging="567"/>
        <w:rPr>
          <w:b/>
          <w:bCs/>
          <w:sz w:val="28"/>
          <w:szCs w:val="28"/>
        </w:rPr>
      </w:pPr>
    </w:p>
    <w:p w14:paraId="69321FDA" w14:textId="69963C9C" w:rsidR="00155055" w:rsidRDefault="00155055" w:rsidP="00FD401B">
      <w:pPr>
        <w:pStyle w:val="NumberedlistHTA"/>
        <w:numPr>
          <w:ilvl w:val="0"/>
          <w:numId w:val="6"/>
        </w:numPr>
        <w:spacing w:after="0" w:line="240" w:lineRule="auto"/>
        <w:ind w:left="567" w:hanging="567"/>
      </w:pPr>
      <w:r>
        <w:t xml:space="preserve">The Chair asked Committee members </w:t>
      </w:r>
      <w:r w:rsidR="00EC19F9">
        <w:t>t</w:t>
      </w:r>
      <w:r>
        <w:t xml:space="preserve">o note the proposed timetable </w:t>
      </w:r>
      <w:r w:rsidR="003D7E80">
        <w:t>for</w:t>
      </w:r>
      <w:r>
        <w:t xml:space="preserve"> the </w:t>
      </w:r>
      <w:r w:rsidR="003D7E80">
        <w:t>r</w:t>
      </w:r>
      <w:r>
        <w:t xml:space="preserve">eview of the </w:t>
      </w:r>
      <w:r w:rsidR="003D7E80">
        <w:t xml:space="preserve">Board’s </w:t>
      </w:r>
      <w:r>
        <w:t>Standing Orders</w:t>
      </w:r>
      <w:r w:rsidR="003D7E80">
        <w:t xml:space="preserve"> governance </w:t>
      </w:r>
      <w:r w:rsidR="00BE52B5">
        <w:t>document</w:t>
      </w:r>
      <w:r w:rsidR="00C9073C">
        <w:t>, including a review by ARAC Members during August</w:t>
      </w:r>
      <w:r>
        <w:t xml:space="preserve">.  The reviewed Standing Orders will be presented to the Board in September for their approval.  </w:t>
      </w:r>
    </w:p>
    <w:p w14:paraId="42FCE4E2" w14:textId="77777777" w:rsidR="00155055" w:rsidRDefault="00155055" w:rsidP="00155055">
      <w:pPr>
        <w:ind w:left="567" w:hanging="567"/>
        <w:rPr>
          <w:rFonts w:asciiTheme="minorBidi" w:hAnsiTheme="minorBidi"/>
          <w:b/>
          <w:bCs/>
        </w:rPr>
      </w:pPr>
    </w:p>
    <w:p w14:paraId="7AE58126" w14:textId="43A02D2D" w:rsidR="00155055" w:rsidRDefault="00155055" w:rsidP="00FD401B">
      <w:pPr>
        <w:pStyle w:val="ListParagraph"/>
        <w:numPr>
          <w:ilvl w:val="0"/>
          <w:numId w:val="6"/>
        </w:numPr>
        <w:ind w:left="567" w:hanging="567"/>
        <w:rPr>
          <w:rFonts w:asciiTheme="minorBidi" w:hAnsiTheme="minorBidi"/>
        </w:rPr>
      </w:pPr>
      <w:r w:rsidRPr="2A410A7A">
        <w:rPr>
          <w:rFonts w:asciiTheme="minorBidi" w:hAnsiTheme="minorBidi"/>
        </w:rPr>
        <w:t xml:space="preserve">The Committee noted the proposed timetable of the </w:t>
      </w:r>
      <w:r w:rsidR="00BE52B5">
        <w:rPr>
          <w:rFonts w:asciiTheme="minorBidi" w:hAnsiTheme="minorBidi"/>
        </w:rPr>
        <w:t>r</w:t>
      </w:r>
      <w:r w:rsidRPr="2A410A7A">
        <w:rPr>
          <w:rFonts w:asciiTheme="minorBidi" w:hAnsiTheme="minorBidi"/>
        </w:rPr>
        <w:t xml:space="preserve">eview of the Standing Orders.  </w:t>
      </w:r>
    </w:p>
    <w:p w14:paraId="519880D8" w14:textId="77777777" w:rsidR="00155055" w:rsidRDefault="00155055" w:rsidP="00155055">
      <w:pPr>
        <w:rPr>
          <w:rFonts w:asciiTheme="minorBidi" w:hAnsiTheme="minorBidi"/>
        </w:rPr>
      </w:pPr>
    </w:p>
    <w:p w14:paraId="6293C9FD" w14:textId="77777777" w:rsidR="00155055" w:rsidRDefault="00155055" w:rsidP="00155055">
      <w:pPr>
        <w:pStyle w:val="Heading2HTA"/>
        <w:spacing w:before="0" w:after="0" w:line="240" w:lineRule="auto"/>
        <w:rPr>
          <w:i/>
          <w:iCs/>
          <w:sz w:val="28"/>
          <w:szCs w:val="28"/>
        </w:rPr>
      </w:pPr>
      <w:r>
        <w:rPr>
          <w:sz w:val="28"/>
          <w:szCs w:val="28"/>
        </w:rPr>
        <w:t>Date and time of next meeting:- 19 October 2023 via Teams</w:t>
      </w:r>
    </w:p>
    <w:p w14:paraId="5AB8E1D9" w14:textId="77777777" w:rsidR="00155055" w:rsidRDefault="00155055" w:rsidP="00155055"/>
    <w:p w14:paraId="14CCD9BE" w14:textId="77777777" w:rsidR="00A77042" w:rsidRDefault="00A77042"/>
    <w:sectPr w:rsidR="00A770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D372" w14:textId="77777777" w:rsidR="00F869F2" w:rsidRDefault="00F869F2" w:rsidP="007A1D78">
      <w:r>
        <w:separator/>
      </w:r>
    </w:p>
  </w:endnote>
  <w:endnote w:type="continuationSeparator" w:id="0">
    <w:p w14:paraId="460737B4" w14:textId="77777777" w:rsidR="00F869F2" w:rsidRDefault="00F869F2" w:rsidP="007A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96006"/>
      <w:docPartObj>
        <w:docPartGallery w:val="Page Numbers (Bottom of Page)"/>
        <w:docPartUnique/>
      </w:docPartObj>
    </w:sdtPr>
    <w:sdtEndPr/>
    <w:sdtContent>
      <w:p w14:paraId="73B179F0" w14:textId="24E47BBE" w:rsidR="007A1D78" w:rsidRDefault="007A1D78">
        <w:pPr>
          <w:pStyle w:val="Foo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B6ED70A" w14:textId="77777777" w:rsidR="007A1D78" w:rsidRDefault="007A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6A62" w14:textId="77777777" w:rsidR="00F869F2" w:rsidRDefault="00F869F2" w:rsidP="007A1D78">
      <w:r>
        <w:separator/>
      </w:r>
    </w:p>
  </w:footnote>
  <w:footnote w:type="continuationSeparator" w:id="0">
    <w:p w14:paraId="49125A1B" w14:textId="77777777" w:rsidR="00F869F2" w:rsidRDefault="00F869F2" w:rsidP="007A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C74"/>
    <w:multiLevelType w:val="hybridMultilevel"/>
    <w:tmpl w:val="40347192"/>
    <w:lvl w:ilvl="0" w:tplc="E3FA856C">
      <w:start w:val="39"/>
      <w:numFmt w:val="decimal"/>
      <w:lvlText w:val="%1."/>
      <w:lvlJc w:val="left"/>
      <w:pPr>
        <w:ind w:left="30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D67AC"/>
    <w:multiLevelType w:val="hybridMultilevel"/>
    <w:tmpl w:val="C2E0B58E"/>
    <w:lvl w:ilvl="0" w:tplc="0809000F">
      <w:start w:val="4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DD8384E"/>
    <w:multiLevelType w:val="hybridMultilevel"/>
    <w:tmpl w:val="8CC49E4E"/>
    <w:lvl w:ilvl="0" w:tplc="B4FA8FBC">
      <w:start w:val="1"/>
      <w:numFmt w:val="decimal"/>
      <w:lvlText w:val="%1."/>
      <w:lvlJc w:val="left"/>
      <w:pPr>
        <w:tabs>
          <w:tab w:val="num" w:pos="3090"/>
        </w:tabs>
        <w:ind w:left="3090" w:hanging="397"/>
      </w:pPr>
      <w:rPr>
        <w:b w:val="0"/>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9BE387A"/>
    <w:multiLevelType w:val="hybridMultilevel"/>
    <w:tmpl w:val="734EDDB4"/>
    <w:lvl w:ilvl="0" w:tplc="CF1E320A">
      <w:start w:val="1"/>
      <w:numFmt w:val="decimal"/>
      <w:pStyle w:val="NumberedlistHTA"/>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6909603">
    <w:abstractNumId w:val="3"/>
    <w:lvlOverride w:ilvl="0">
      <w:startOverride w:val="1"/>
    </w:lvlOverride>
    <w:lvlOverride w:ilvl="1"/>
    <w:lvlOverride w:ilvl="2"/>
    <w:lvlOverride w:ilvl="3"/>
    <w:lvlOverride w:ilvl="4"/>
    <w:lvlOverride w:ilvl="5"/>
    <w:lvlOverride w:ilvl="6"/>
    <w:lvlOverride w:ilvl="7"/>
    <w:lvlOverride w:ilvl="8"/>
  </w:num>
  <w:num w:numId="2" w16cid:durableId="188344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676899">
    <w:abstractNumId w:val="1"/>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20100">
    <w:abstractNumId w:val="1"/>
  </w:num>
  <w:num w:numId="5" w16cid:durableId="384060592">
    <w:abstractNumId w:val="3"/>
  </w:num>
  <w:num w:numId="6" w16cid:durableId="28542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55"/>
    <w:rsid w:val="000315F5"/>
    <w:rsid w:val="00035053"/>
    <w:rsid w:val="00083031"/>
    <w:rsid w:val="00094646"/>
    <w:rsid w:val="001073C9"/>
    <w:rsid w:val="00155055"/>
    <w:rsid w:val="001A012C"/>
    <w:rsid w:val="002C5CA9"/>
    <w:rsid w:val="003243E4"/>
    <w:rsid w:val="00335356"/>
    <w:rsid w:val="00360B48"/>
    <w:rsid w:val="003C1A10"/>
    <w:rsid w:val="003D7E80"/>
    <w:rsid w:val="005862FB"/>
    <w:rsid w:val="005D14B6"/>
    <w:rsid w:val="00704B4A"/>
    <w:rsid w:val="00727F83"/>
    <w:rsid w:val="007657FF"/>
    <w:rsid w:val="007A1D78"/>
    <w:rsid w:val="007C503E"/>
    <w:rsid w:val="007D066B"/>
    <w:rsid w:val="00A30BB3"/>
    <w:rsid w:val="00A77042"/>
    <w:rsid w:val="00BA34B8"/>
    <w:rsid w:val="00BB2913"/>
    <w:rsid w:val="00BD26D0"/>
    <w:rsid w:val="00BE3D37"/>
    <w:rsid w:val="00BE52B5"/>
    <w:rsid w:val="00C66CD9"/>
    <w:rsid w:val="00C672F2"/>
    <w:rsid w:val="00C9073C"/>
    <w:rsid w:val="00CE12F1"/>
    <w:rsid w:val="00E048E5"/>
    <w:rsid w:val="00E23AE2"/>
    <w:rsid w:val="00E448B3"/>
    <w:rsid w:val="00E77347"/>
    <w:rsid w:val="00EC19F9"/>
    <w:rsid w:val="00F869F2"/>
    <w:rsid w:val="00FD401B"/>
    <w:rsid w:val="04E664BA"/>
    <w:rsid w:val="0AD5F8B1"/>
    <w:rsid w:val="0C2426BD"/>
    <w:rsid w:val="12C49410"/>
    <w:rsid w:val="1329D39C"/>
    <w:rsid w:val="14AC7BA0"/>
    <w:rsid w:val="14B66164"/>
    <w:rsid w:val="1A22231A"/>
    <w:rsid w:val="1A8CD813"/>
    <w:rsid w:val="1B235700"/>
    <w:rsid w:val="1BE100C4"/>
    <w:rsid w:val="1FBEA6F2"/>
    <w:rsid w:val="2259459E"/>
    <w:rsid w:val="24DF8A29"/>
    <w:rsid w:val="270969B8"/>
    <w:rsid w:val="28BFDC02"/>
    <w:rsid w:val="2A410A7A"/>
    <w:rsid w:val="2A89D380"/>
    <w:rsid w:val="2C4D8202"/>
    <w:rsid w:val="2EE00290"/>
    <w:rsid w:val="3015C774"/>
    <w:rsid w:val="319443E5"/>
    <w:rsid w:val="3936D40E"/>
    <w:rsid w:val="3C43B531"/>
    <w:rsid w:val="3D166241"/>
    <w:rsid w:val="3DDF8592"/>
    <w:rsid w:val="4107E3BB"/>
    <w:rsid w:val="41A10A5E"/>
    <w:rsid w:val="4230E548"/>
    <w:rsid w:val="42510552"/>
    <w:rsid w:val="46A31A48"/>
    <w:rsid w:val="48A0F98A"/>
    <w:rsid w:val="4B4469D0"/>
    <w:rsid w:val="4CF5EC92"/>
    <w:rsid w:val="535AEC0F"/>
    <w:rsid w:val="536001EB"/>
    <w:rsid w:val="58541B14"/>
    <w:rsid w:val="5F2D9EAF"/>
    <w:rsid w:val="5F4DAF1D"/>
    <w:rsid w:val="5F5C276D"/>
    <w:rsid w:val="5F76BA90"/>
    <w:rsid w:val="6015C099"/>
    <w:rsid w:val="613ABAEE"/>
    <w:rsid w:val="651E3C0B"/>
    <w:rsid w:val="681D90FB"/>
    <w:rsid w:val="68755095"/>
    <w:rsid w:val="6D0CFA71"/>
    <w:rsid w:val="70E523CD"/>
    <w:rsid w:val="73925600"/>
    <w:rsid w:val="761B8D58"/>
    <w:rsid w:val="7C332799"/>
    <w:rsid w:val="7C8256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4F15AD"/>
  <w15:chartTrackingRefBased/>
  <w15:docId w15:val="{D61FA7D5-5155-4286-96F5-0FF1C46D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55"/>
    <w:pPr>
      <w:spacing w:after="0" w:line="240" w:lineRule="auto"/>
    </w:pPr>
    <w:rPr>
      <w:rFonts w:ascii="Arial" w:hAnsi="Arial" w:cs="Arial"/>
      <w:kern w:val="0"/>
      <w:sz w:val="24"/>
      <w:szCs w:val="24"/>
      <w:lang w:eastAsia="en-GB"/>
      <w14:ligatures w14:val="none"/>
    </w:rPr>
  </w:style>
  <w:style w:type="paragraph" w:styleId="Heading1">
    <w:name w:val="heading 1"/>
    <w:basedOn w:val="Normal"/>
    <w:next w:val="Normal"/>
    <w:link w:val="Heading1Char"/>
    <w:uiPriority w:val="9"/>
    <w:qFormat/>
    <w:rsid w:val="00155055"/>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055"/>
    <w:rPr>
      <w:rFonts w:ascii="Arial" w:eastAsiaTheme="majorEastAsia" w:hAnsi="Arial" w:cstheme="majorBidi"/>
      <w:b/>
      <w:bCs/>
      <w:kern w:val="0"/>
      <w:sz w:val="28"/>
      <w:szCs w:val="28"/>
      <w:lang w:eastAsia="en-GB"/>
      <w14:ligatures w14:val="none"/>
    </w:rPr>
  </w:style>
  <w:style w:type="paragraph" w:styleId="Header">
    <w:name w:val="header"/>
    <w:basedOn w:val="Normal"/>
    <w:link w:val="HeaderChar"/>
    <w:unhideWhenUsed/>
    <w:rsid w:val="00155055"/>
    <w:pPr>
      <w:tabs>
        <w:tab w:val="center" w:pos="4320"/>
        <w:tab w:val="right" w:pos="8640"/>
      </w:tabs>
    </w:pPr>
    <w:rPr>
      <w:sz w:val="20"/>
    </w:rPr>
  </w:style>
  <w:style w:type="character" w:customStyle="1" w:styleId="HeaderChar">
    <w:name w:val="Header Char"/>
    <w:basedOn w:val="DefaultParagraphFont"/>
    <w:link w:val="Header"/>
    <w:rsid w:val="00155055"/>
    <w:rPr>
      <w:rFonts w:ascii="Arial" w:hAnsi="Arial" w:cs="Arial"/>
      <w:kern w:val="0"/>
      <w:sz w:val="20"/>
      <w:szCs w:val="24"/>
      <w:lang w:eastAsia="en-GB"/>
      <w14:ligatures w14:val="none"/>
    </w:rPr>
  </w:style>
  <w:style w:type="paragraph" w:styleId="Title">
    <w:name w:val="Title"/>
    <w:basedOn w:val="Normal"/>
    <w:next w:val="Normal"/>
    <w:link w:val="TitleChar"/>
    <w:autoRedefine/>
    <w:uiPriority w:val="10"/>
    <w:qFormat/>
    <w:rsid w:val="00155055"/>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basedOn w:val="DefaultParagraphFont"/>
    <w:link w:val="Title"/>
    <w:uiPriority w:val="10"/>
    <w:rsid w:val="00155055"/>
    <w:rPr>
      <w:rFonts w:ascii="Arial" w:eastAsiaTheme="majorEastAsia" w:hAnsi="Arial" w:cstheme="majorBidi"/>
      <w:b/>
      <w:color w:val="4E1965"/>
      <w:spacing w:val="5"/>
      <w:kern w:val="28"/>
      <w:sz w:val="40"/>
      <w:szCs w:val="40"/>
      <w:lang w:eastAsia="en-GB"/>
      <w14:ligatures w14:val="none"/>
    </w:rPr>
  </w:style>
  <w:style w:type="paragraph" w:styleId="ListParagraph">
    <w:name w:val="List Paragraph"/>
    <w:basedOn w:val="Normal"/>
    <w:uiPriority w:val="34"/>
    <w:qFormat/>
    <w:rsid w:val="00155055"/>
    <w:pPr>
      <w:ind w:left="720"/>
      <w:contextualSpacing/>
    </w:pPr>
  </w:style>
  <w:style w:type="paragraph" w:customStyle="1" w:styleId="Subheading">
    <w:name w:val="Subheading"/>
    <w:basedOn w:val="ListParagraph"/>
    <w:qFormat/>
    <w:rsid w:val="00155055"/>
    <w:pPr>
      <w:ind w:left="0"/>
    </w:pPr>
    <w:rPr>
      <w:b/>
      <w:sz w:val="32"/>
    </w:rPr>
  </w:style>
  <w:style w:type="character" w:customStyle="1" w:styleId="NumberedlistHTAChar">
    <w:name w:val="Numbered list HTA Char"/>
    <w:basedOn w:val="DefaultParagraphFont"/>
    <w:link w:val="NumberedlistHTA"/>
    <w:locked/>
    <w:rsid w:val="00155055"/>
    <w:rPr>
      <w:rFonts w:ascii="Arial" w:eastAsia="Batang" w:hAnsi="Arial" w:cs="Arial"/>
      <w:color w:val="000000" w:themeColor="text1"/>
      <w:kern w:val="0"/>
      <w:sz w:val="24"/>
      <w:szCs w:val="24"/>
      <w14:ligatures w14:val="none"/>
    </w:rPr>
  </w:style>
  <w:style w:type="paragraph" w:customStyle="1" w:styleId="NumberedlistHTA">
    <w:name w:val="Numbered list HTA"/>
    <w:basedOn w:val="Normal"/>
    <w:link w:val="NumberedlistHTAChar"/>
    <w:qFormat/>
    <w:rsid w:val="00155055"/>
    <w:pPr>
      <w:numPr>
        <w:numId w:val="1"/>
      </w:numPr>
      <w:spacing w:after="240" w:line="256" w:lineRule="auto"/>
      <w:ind w:left="714" w:hanging="357"/>
    </w:pPr>
    <w:rPr>
      <w:rFonts w:eastAsia="Batang"/>
      <w:color w:val="000000" w:themeColor="text1"/>
      <w:lang w:eastAsia="en-US"/>
    </w:rPr>
  </w:style>
  <w:style w:type="character" w:customStyle="1" w:styleId="Heading2HTAChar">
    <w:name w:val="Heading 2 HTA Char"/>
    <w:basedOn w:val="DefaultParagraphFont"/>
    <w:link w:val="Heading2HTA"/>
    <w:locked/>
    <w:rsid w:val="00155055"/>
    <w:rPr>
      <w:rFonts w:ascii="Arial" w:eastAsia="Batang" w:hAnsi="Arial" w:cs="Arial"/>
      <w:b/>
      <w:bCs/>
      <w:color w:val="000000" w:themeColor="text1"/>
      <w:sz w:val="32"/>
      <w:szCs w:val="32"/>
    </w:rPr>
  </w:style>
  <w:style w:type="paragraph" w:customStyle="1" w:styleId="Heading2HTA">
    <w:name w:val="Heading 2 HTA"/>
    <w:basedOn w:val="Normal"/>
    <w:link w:val="Heading2HTAChar"/>
    <w:qFormat/>
    <w:rsid w:val="00155055"/>
    <w:pPr>
      <w:spacing w:before="160" w:after="240" w:line="254" w:lineRule="auto"/>
    </w:pPr>
    <w:rPr>
      <w:rFonts w:eastAsia="Batang"/>
      <w:b/>
      <w:bCs/>
      <w:color w:val="000000" w:themeColor="text1"/>
      <w:kern w:val="2"/>
      <w:sz w:val="32"/>
      <w:szCs w:val="32"/>
      <w:lang w:eastAsia="en-US"/>
      <w14:ligatures w14:val="standardContextual"/>
    </w:rPr>
  </w:style>
  <w:style w:type="character" w:customStyle="1" w:styleId="normaltextrun">
    <w:name w:val="normaltextrun"/>
    <w:basedOn w:val="DefaultParagraphFont"/>
    <w:rsid w:val="00155055"/>
  </w:style>
  <w:style w:type="character" w:customStyle="1" w:styleId="eop">
    <w:name w:val="eop"/>
    <w:basedOn w:val="DefaultParagraphFont"/>
    <w:rsid w:val="00155055"/>
  </w:style>
  <w:style w:type="paragraph" w:styleId="Footer">
    <w:name w:val="footer"/>
    <w:basedOn w:val="Normal"/>
    <w:link w:val="FooterChar"/>
    <w:uiPriority w:val="99"/>
    <w:unhideWhenUsed/>
    <w:rsid w:val="007A1D78"/>
    <w:pPr>
      <w:tabs>
        <w:tab w:val="center" w:pos="4513"/>
        <w:tab w:val="right" w:pos="9026"/>
      </w:tabs>
    </w:pPr>
  </w:style>
  <w:style w:type="character" w:customStyle="1" w:styleId="FooterChar">
    <w:name w:val="Footer Char"/>
    <w:basedOn w:val="DefaultParagraphFont"/>
    <w:link w:val="Footer"/>
    <w:uiPriority w:val="99"/>
    <w:rsid w:val="007A1D78"/>
    <w:rPr>
      <w:rFonts w:ascii="Arial" w:hAnsi="Arial" w:cs="Arial"/>
      <w:kern w:val="0"/>
      <w:sz w:val="24"/>
      <w:szCs w:val="24"/>
      <w:lang w:eastAsia="en-GB"/>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A34B8"/>
    <w:pPr>
      <w:spacing w:after="0" w:line="240" w:lineRule="auto"/>
    </w:pPr>
    <w:rPr>
      <w:rFonts w:ascii="Arial" w:hAnsi="Arial" w:cs="Arial"/>
      <w:kern w:val="0"/>
      <w:sz w:val="24"/>
      <w:szCs w:val="24"/>
      <w:lang w:eastAsia="en-GB"/>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8337">
      <w:bodyDiv w:val="1"/>
      <w:marLeft w:val="0"/>
      <w:marRight w:val="0"/>
      <w:marTop w:val="0"/>
      <w:marBottom w:val="0"/>
      <w:divBdr>
        <w:top w:val="none" w:sz="0" w:space="0" w:color="auto"/>
        <w:left w:val="none" w:sz="0" w:space="0" w:color="auto"/>
        <w:bottom w:val="none" w:sz="0" w:space="0" w:color="auto"/>
        <w:right w:val="none" w:sz="0" w:space="0" w:color="auto"/>
      </w:divBdr>
    </w:div>
    <w:div w:id="1395853529">
      <w:bodyDiv w:val="1"/>
      <w:marLeft w:val="0"/>
      <w:marRight w:val="0"/>
      <w:marTop w:val="0"/>
      <w:marBottom w:val="0"/>
      <w:divBdr>
        <w:top w:val="none" w:sz="0" w:space="0" w:color="auto"/>
        <w:left w:val="none" w:sz="0" w:space="0" w:color="auto"/>
        <w:bottom w:val="none" w:sz="0" w:space="0" w:color="auto"/>
        <w:right w:val="none" w:sz="0" w:space="0" w:color="auto"/>
      </w:divBdr>
    </w:div>
    <w:div w:id="17482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nutes" ma:contentTypeID="0x01010070FA452D68FE2C4C857151ED38B1EED93B007E6E359B5F773743B5328C480F12B108" ma:contentTypeVersion="43" ma:contentTypeDescription="Create a new document." ma:contentTypeScope="" ma:versionID="eea68b294a3977f4254c2794ab392f83">
  <xsd:schema xmlns:xsd="http://www.w3.org/2001/XMLSchema" xmlns:xs="http://www.w3.org/2001/XMLSchema" xmlns:p="http://schemas.microsoft.com/office/2006/metadata/properties" xmlns:ns1="http://schemas.microsoft.com/sharepoint/v3" xmlns:ns2="da565c07-dda8-49d0-af77-97162e211c3a" targetNamespace="http://schemas.microsoft.com/office/2006/metadata/properties" ma:root="true" ma:fieldsID="2bc6f695e7e846a57f76f35d1eeec5b1" ns1:_="" ns2:_="">
    <xsd:import namespace="http://schemas.microsoft.com/sharepoint/v3"/>
    <xsd:import namespace="da565c07-dda8-49d0-af77-97162e211c3a"/>
    <xsd:element name="properties">
      <xsd:complexType>
        <xsd:sequence>
          <xsd:element name="documentManagement">
            <xsd:complexType>
              <xsd:all>
                <xsd:element ref="ns2:Retention_x005f_x0020_Date" minOccurs="0"/>
                <xsd:element ref="ns2:Review_x005f_x0020_Date" minOccurs="0"/>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Retention_x005f_x0020_Date" ma:index="8" nillable="true" ma:displayName="Retention Date" ma:format="DateOnly" ma:internalName="Retention_x0020_Date" ma:readOnly="false">
      <xsd:simpleType>
        <xsd:restriction base="dms:DateTime"/>
      </xsd:simpleType>
    </xsd:element>
    <xsd:element name="Review_x005f_x0020_Date" ma:index="9" nillable="true" ma:displayName="Review Date" ma:format="DateOnly" ma:internalName="Review_x0020_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tention_x005f_x0020_Date xmlns="da565c07-dda8-49d0-af77-97162e211c3a" xsi:nil="true"/>
    <Review_x005f_x0020_Date xmlns="da565c07-dda8-49d0-af77-97162e211c3a" xsi:nil="true"/>
    <_dlc_DocId xmlns="da565c07-dda8-49d0-af77-97162e211c3a">AD75TJCKWPSD-1767322064-25191</_dlc_DocId>
    <_dlc_DocIdUrl xmlns="da565c07-dda8-49d0-af77-97162e211c3a">
      <Url>https://htagovuk.sharepoint.com/sites/edrms/qm/_layouts/15/DocIdRedir.aspx?ID=AD75TJCKWPSD-1767322064-25191</Url>
      <Description>AD75TJCKWPSD-1767322064-25191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01D47-3897-495E-AEF8-1831D5492156}">
  <ds:schemaRefs>
    <ds:schemaRef ds:uri="http://schemas.microsoft.com/sharepoint/events"/>
  </ds:schemaRefs>
</ds:datastoreItem>
</file>

<file path=customXml/itemProps2.xml><?xml version="1.0" encoding="utf-8"?>
<ds:datastoreItem xmlns:ds="http://schemas.openxmlformats.org/officeDocument/2006/customXml" ds:itemID="{74078569-D255-49BF-8E50-2C49599D79AD}"/>
</file>

<file path=customXml/itemProps3.xml><?xml version="1.0" encoding="utf-8"?>
<ds:datastoreItem xmlns:ds="http://schemas.openxmlformats.org/officeDocument/2006/customXml" ds:itemID="{6C751259-DD70-402E-A462-BDC501C0245F}">
  <ds:schemaRefs>
    <ds:schemaRef ds:uri="http://schemas.openxmlformats.org/officeDocument/2006/bibliography"/>
  </ds:schemaRefs>
</ds:datastoreItem>
</file>

<file path=customXml/itemProps4.xml><?xml version="1.0" encoding="utf-8"?>
<ds:datastoreItem xmlns:ds="http://schemas.openxmlformats.org/officeDocument/2006/customXml" ds:itemID="{49CA890A-E4BA-4A86-8713-5D878AC7B37B}">
  <ds:schemaRefs>
    <ds:schemaRef ds:uri="http://purl.org/dc/elements/1.1/"/>
    <ds:schemaRef ds:uri="http://schemas.microsoft.com/office/infopath/2007/PartnerControls"/>
    <ds:schemaRef ds:uri="http://www.w3.org/XML/1998/namespace"/>
    <ds:schemaRef ds:uri="a2e08295-de2b-4bb5-bafa-fe187688d115"/>
    <ds:schemaRef ds:uri="http://schemas.microsoft.com/office/2006/documentManagement/types"/>
    <ds:schemaRef ds:uri="http://purl.org/dc/dcmitype/"/>
    <ds:schemaRef ds:uri="http://schemas.microsoft.com/office/2006/metadata/properties"/>
    <ds:schemaRef ds:uri="http://schemas.microsoft.com/sharepoint/v3"/>
    <ds:schemaRef ds:uri="http://schemas.openxmlformats.org/package/2006/metadata/core-properties"/>
    <ds:schemaRef ds:uri="7e8a62b4-da98-4c32-8f09-13b01fecd102"/>
    <ds:schemaRef ds:uri="da565c07-dda8-49d0-af77-97162e211c3a"/>
    <ds:schemaRef ds:uri="http://purl.org/dc/terms/"/>
  </ds:schemaRefs>
</ds:datastoreItem>
</file>

<file path=customXml/itemProps5.xml><?xml version="1.0" encoding="utf-8"?>
<ds:datastoreItem xmlns:ds="http://schemas.openxmlformats.org/officeDocument/2006/customXml" ds:itemID="{EE93AE8E-FA4E-403C-9303-1BC329915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Troy</dc:creator>
  <cp:keywords/>
  <dc:description/>
  <cp:lastModifiedBy>Heather Troy</cp:lastModifiedBy>
  <cp:revision>8</cp:revision>
  <dcterms:created xsi:type="dcterms:W3CDTF">2023-08-15T14:25:00Z</dcterms:created>
  <dcterms:modified xsi:type="dcterms:W3CDTF">2023-08-22T09:11:00Z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0x01010070FA452D68FE2C4C857151ED38B1EED93B007E6E359B5F773743B5328C480F12B108</vt:lpwstr>
  </property>
  <property fmtid="{D5CDD505-2E9C-101B-9397-08002B2CF9AE}" pid="3" name="_dlc_DocIdItemGuid">
    <vt:lpwstr>c3f498e9-a412-487d-b86b-a96f243f0041</vt:lpwstr>
  </property>
</Properties>
</file>