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EDA6" w14:textId="77777777" w:rsidR="00C605CE" w:rsidRDefault="00C605CE" w:rsidP="00B2527A">
      <w:pPr>
        <w:pStyle w:val="BodytextHTA"/>
        <w:spacing w:after="0" w:line="240" w:lineRule="auto"/>
        <w:rPr>
          <w:b/>
          <w:bCs/>
          <w:color w:val="4E1965" w:themeColor="text2"/>
          <w:sz w:val="40"/>
          <w:szCs w:val="40"/>
        </w:rPr>
      </w:pPr>
      <w:r w:rsidRPr="003C7DC6">
        <w:rPr>
          <w:b/>
          <w:bCs/>
          <w:color w:val="4E1965" w:themeColor="text2"/>
          <w:sz w:val="40"/>
          <w:szCs w:val="40"/>
        </w:rPr>
        <w:t xml:space="preserve">Human Tissue Authority </w:t>
      </w:r>
    </w:p>
    <w:p w14:paraId="7856B206" w14:textId="77777777" w:rsidR="00C605CE" w:rsidRPr="003C7DC6" w:rsidRDefault="00C605CE" w:rsidP="00B2527A">
      <w:pPr>
        <w:pStyle w:val="BodytextHTA"/>
        <w:spacing w:after="0" w:line="240" w:lineRule="auto"/>
      </w:pPr>
      <w:r w:rsidRPr="003C7DC6">
        <w:rPr>
          <w:b/>
          <w:bCs/>
          <w:color w:val="4E1965" w:themeColor="text2"/>
          <w:sz w:val="40"/>
          <w:szCs w:val="40"/>
        </w:rPr>
        <w:t>Board Meeting</w:t>
      </w:r>
      <w:r w:rsidR="00D928BA">
        <w:pict w14:anchorId="6239AE08">
          <v:rect id="_x0000_i1025" style="width:445.1pt;height:1pt" o:hralign="center" o:hrstd="t" o:hrnoshade="t" o:hr="t" fillcolor="#4e1965 [3215]" stroked="f"/>
        </w:pict>
      </w:r>
    </w:p>
    <w:p w14:paraId="46BDBE2C" w14:textId="6AA215FB" w:rsidR="00932B8F" w:rsidRPr="00481BC9" w:rsidRDefault="00D64A1A" w:rsidP="00DA633E">
      <w:pPr>
        <w:pStyle w:val="Heading1HTA"/>
        <w:rPr>
          <w:sz w:val="32"/>
          <w:szCs w:val="32"/>
        </w:rPr>
      </w:pPr>
      <w:r>
        <w:t>Annex A Standing Orders</w:t>
      </w:r>
      <w:r w:rsidR="00DA633E">
        <w:t xml:space="preserve"> – changes made</w:t>
      </w:r>
    </w:p>
    <w:p w14:paraId="496B1ED5" w14:textId="77777777" w:rsidR="00674BFB" w:rsidRDefault="00674BFB" w:rsidP="00674BFB">
      <w:pPr>
        <w:rPr>
          <w:rFonts w:ascii="Arial" w:hAnsi="Arial" w:cs="Arial"/>
          <w:i/>
          <w:iCs/>
          <w:sz w:val="24"/>
          <w:szCs w:val="24"/>
        </w:rPr>
      </w:pPr>
      <w:r>
        <w:rPr>
          <w:rFonts w:ascii="Arial" w:hAnsi="Arial" w:cs="Arial"/>
          <w:b/>
          <w:bCs/>
          <w:i/>
          <w:iCs/>
          <w:sz w:val="24"/>
          <w:szCs w:val="24"/>
        </w:rPr>
        <w:t>Pg 1</w:t>
      </w:r>
      <w:r>
        <w:rPr>
          <w:rFonts w:ascii="Arial" w:hAnsi="Arial" w:cs="Arial"/>
          <w:i/>
          <w:iCs/>
          <w:sz w:val="24"/>
          <w:szCs w:val="24"/>
        </w:rPr>
        <w:t xml:space="preserve"> – Updated the TOR details </w:t>
      </w:r>
    </w:p>
    <w:p w14:paraId="2D8ABF3A" w14:textId="77777777" w:rsidR="00674BFB" w:rsidRDefault="00674BFB" w:rsidP="00674BFB">
      <w:pPr>
        <w:rPr>
          <w:rFonts w:ascii="Arial" w:hAnsi="Arial" w:cs="Arial"/>
          <w:i/>
          <w:iCs/>
          <w:sz w:val="24"/>
          <w:szCs w:val="24"/>
        </w:rPr>
      </w:pPr>
      <w:r>
        <w:rPr>
          <w:rFonts w:ascii="Arial" w:hAnsi="Arial" w:cs="Arial"/>
          <w:b/>
          <w:bCs/>
          <w:i/>
          <w:iCs/>
          <w:sz w:val="24"/>
          <w:szCs w:val="24"/>
        </w:rPr>
        <w:t>Pg 2</w:t>
      </w:r>
      <w:r>
        <w:rPr>
          <w:rFonts w:ascii="Arial" w:hAnsi="Arial" w:cs="Arial"/>
          <w:i/>
          <w:iCs/>
          <w:sz w:val="24"/>
          <w:szCs w:val="24"/>
        </w:rPr>
        <w:t xml:space="preserve"> – Updated table of contents page numbers</w:t>
      </w:r>
    </w:p>
    <w:p w14:paraId="3ED6D27C" w14:textId="77777777" w:rsidR="00674BFB" w:rsidRDefault="00674BFB" w:rsidP="00674BFB">
      <w:pPr>
        <w:rPr>
          <w:rFonts w:ascii="Arial" w:hAnsi="Arial" w:cs="Arial"/>
          <w:i/>
          <w:iCs/>
          <w:sz w:val="24"/>
          <w:szCs w:val="24"/>
        </w:rPr>
      </w:pPr>
      <w:r>
        <w:rPr>
          <w:rFonts w:ascii="Arial" w:hAnsi="Arial" w:cs="Arial"/>
          <w:b/>
          <w:bCs/>
          <w:i/>
          <w:iCs/>
          <w:sz w:val="24"/>
          <w:szCs w:val="24"/>
        </w:rPr>
        <w:t>Pg 3</w:t>
      </w:r>
      <w:r>
        <w:rPr>
          <w:rFonts w:ascii="Arial" w:hAnsi="Arial" w:cs="Arial"/>
          <w:i/>
          <w:iCs/>
          <w:sz w:val="24"/>
          <w:szCs w:val="24"/>
        </w:rPr>
        <w:t xml:space="preserve"> – Added in the additional appendix </w:t>
      </w:r>
    </w:p>
    <w:p w14:paraId="5255C4A6" w14:textId="77777777" w:rsidR="00674BFB" w:rsidRDefault="00674BFB" w:rsidP="00674BFB">
      <w:pPr>
        <w:rPr>
          <w:rFonts w:ascii="Arial" w:hAnsi="Arial" w:cs="Arial"/>
          <w:i/>
          <w:iCs/>
          <w:sz w:val="24"/>
          <w:szCs w:val="24"/>
        </w:rPr>
      </w:pPr>
      <w:r>
        <w:rPr>
          <w:rFonts w:ascii="Arial" w:hAnsi="Arial" w:cs="Arial"/>
          <w:b/>
          <w:bCs/>
          <w:i/>
          <w:iCs/>
          <w:sz w:val="24"/>
          <w:szCs w:val="24"/>
        </w:rPr>
        <w:t>Pg 4 (para 1)</w:t>
      </w:r>
      <w:r>
        <w:rPr>
          <w:rFonts w:ascii="Arial" w:hAnsi="Arial" w:cs="Arial"/>
          <w:i/>
          <w:iCs/>
          <w:sz w:val="24"/>
          <w:szCs w:val="24"/>
        </w:rPr>
        <w:t xml:space="preserve"> - Replaced the word “</w:t>
      </w:r>
      <w:proofErr w:type="spellStart"/>
      <w:r>
        <w:rPr>
          <w:rFonts w:ascii="Arial" w:hAnsi="Arial" w:cs="Arial"/>
          <w:i/>
          <w:iCs/>
          <w:sz w:val="24"/>
          <w:szCs w:val="24"/>
        </w:rPr>
        <w:t>procrude</w:t>
      </w:r>
      <w:proofErr w:type="spellEnd"/>
      <w:r>
        <w:rPr>
          <w:rFonts w:ascii="Arial" w:hAnsi="Arial" w:cs="Arial"/>
          <w:i/>
          <w:iCs/>
          <w:sz w:val="24"/>
          <w:szCs w:val="24"/>
        </w:rPr>
        <w:t xml:space="preserve">” with “operations”; </w:t>
      </w:r>
      <w:r>
        <w:rPr>
          <w:rFonts w:ascii="Arial" w:hAnsi="Arial" w:cs="Arial"/>
          <w:b/>
          <w:bCs/>
          <w:i/>
          <w:iCs/>
          <w:sz w:val="24"/>
          <w:szCs w:val="24"/>
        </w:rPr>
        <w:t xml:space="preserve">(para 2) </w:t>
      </w:r>
      <w:r>
        <w:rPr>
          <w:rFonts w:ascii="Arial" w:hAnsi="Arial" w:cs="Arial"/>
          <w:i/>
          <w:iCs/>
          <w:sz w:val="24"/>
          <w:szCs w:val="24"/>
        </w:rPr>
        <w:t>replaced “he/she is” with “they are”</w:t>
      </w:r>
    </w:p>
    <w:p w14:paraId="3F65F9D5"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5 (para 6) </w:t>
      </w:r>
      <w:r>
        <w:rPr>
          <w:rFonts w:ascii="Arial" w:hAnsi="Arial" w:cs="Arial"/>
          <w:i/>
          <w:iCs/>
          <w:sz w:val="24"/>
          <w:szCs w:val="24"/>
        </w:rPr>
        <w:t>– replaced “he/she has been” with “they are”; replaced “his/her” with “their”; replaced “his or her” with “their”</w:t>
      </w:r>
    </w:p>
    <w:p w14:paraId="462E3EF0"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6 (para 9) </w:t>
      </w:r>
      <w:r>
        <w:rPr>
          <w:rFonts w:ascii="Arial" w:hAnsi="Arial" w:cs="Arial"/>
          <w:i/>
          <w:iCs/>
          <w:sz w:val="24"/>
          <w:szCs w:val="24"/>
        </w:rPr>
        <w:t>replaced “he/she” with “they”;</w:t>
      </w:r>
      <w:r>
        <w:rPr>
          <w:rFonts w:ascii="Arial" w:hAnsi="Arial" w:cs="Arial"/>
          <w:b/>
          <w:bCs/>
          <w:i/>
          <w:iCs/>
          <w:sz w:val="24"/>
          <w:szCs w:val="24"/>
        </w:rPr>
        <w:t xml:space="preserve"> (para 10)</w:t>
      </w:r>
      <w:r>
        <w:rPr>
          <w:rFonts w:ascii="Arial" w:hAnsi="Arial" w:cs="Arial"/>
          <w:i/>
          <w:iCs/>
          <w:sz w:val="24"/>
          <w:szCs w:val="24"/>
        </w:rPr>
        <w:t xml:space="preserve"> - Capitalised the word Authority</w:t>
      </w:r>
    </w:p>
    <w:p w14:paraId="77315FDD"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7 (para 18) </w:t>
      </w:r>
      <w:r>
        <w:rPr>
          <w:rFonts w:ascii="Arial" w:hAnsi="Arial" w:cs="Arial"/>
          <w:i/>
          <w:iCs/>
          <w:sz w:val="24"/>
          <w:szCs w:val="24"/>
        </w:rPr>
        <w:t>replaced “his/her” with “their”</w:t>
      </w:r>
    </w:p>
    <w:p w14:paraId="3C37A9F4" w14:textId="77777777" w:rsidR="00674BFB" w:rsidRDefault="00674BFB" w:rsidP="00674BFB">
      <w:pPr>
        <w:rPr>
          <w:rFonts w:ascii="Arial" w:hAnsi="Arial" w:cs="Arial"/>
          <w:i/>
          <w:iCs/>
          <w:sz w:val="24"/>
          <w:szCs w:val="24"/>
        </w:rPr>
      </w:pPr>
      <w:r>
        <w:rPr>
          <w:rFonts w:ascii="Arial" w:hAnsi="Arial" w:cs="Arial"/>
          <w:b/>
          <w:bCs/>
          <w:i/>
          <w:iCs/>
          <w:sz w:val="24"/>
          <w:szCs w:val="24"/>
        </w:rPr>
        <w:t>Pg 8</w:t>
      </w:r>
      <w:r>
        <w:rPr>
          <w:rFonts w:ascii="Arial" w:hAnsi="Arial" w:cs="Arial"/>
          <w:i/>
          <w:iCs/>
          <w:sz w:val="24"/>
          <w:szCs w:val="24"/>
        </w:rPr>
        <w:t xml:space="preserve"> – removed a para just above the heading “Closed meetings” which said “a meeting, as required by Regulation 14 (1) of the HT Act (Persons who Lack Capacity to Consent and Transplants) Regulations 2006, will be quorate if three Board Members are in attendance”;</w:t>
      </w:r>
      <w:r>
        <w:rPr>
          <w:rFonts w:ascii="Arial" w:hAnsi="Arial" w:cs="Arial"/>
          <w:b/>
          <w:bCs/>
          <w:i/>
          <w:iCs/>
          <w:sz w:val="24"/>
          <w:szCs w:val="24"/>
        </w:rPr>
        <w:t xml:space="preserve"> (para 21) </w:t>
      </w:r>
      <w:r>
        <w:rPr>
          <w:rFonts w:ascii="Arial" w:hAnsi="Arial" w:cs="Arial"/>
          <w:i/>
          <w:iCs/>
          <w:sz w:val="24"/>
          <w:szCs w:val="24"/>
        </w:rPr>
        <w:t xml:space="preserve">replaced “his/her” with “their”; </w:t>
      </w:r>
      <w:r>
        <w:rPr>
          <w:rFonts w:ascii="Arial" w:hAnsi="Arial" w:cs="Arial"/>
          <w:b/>
          <w:bCs/>
          <w:i/>
          <w:iCs/>
          <w:sz w:val="24"/>
          <w:szCs w:val="24"/>
        </w:rPr>
        <w:t xml:space="preserve">(para 22) </w:t>
      </w:r>
      <w:r>
        <w:rPr>
          <w:rFonts w:ascii="Arial" w:hAnsi="Arial" w:cs="Arial"/>
          <w:i/>
          <w:iCs/>
          <w:sz w:val="24"/>
          <w:szCs w:val="24"/>
        </w:rPr>
        <w:t>replaced “his/her” with “their”</w:t>
      </w:r>
      <w:r>
        <w:rPr>
          <w:rFonts w:ascii="Arial" w:hAnsi="Arial" w:cs="Arial"/>
          <w:b/>
          <w:bCs/>
          <w:i/>
          <w:iCs/>
          <w:sz w:val="24"/>
          <w:szCs w:val="24"/>
        </w:rPr>
        <w:t xml:space="preserve"> (para 25) </w:t>
      </w:r>
      <w:r>
        <w:rPr>
          <w:rFonts w:ascii="Arial" w:hAnsi="Arial" w:cs="Arial"/>
          <w:i/>
          <w:iCs/>
          <w:sz w:val="24"/>
          <w:szCs w:val="24"/>
        </w:rPr>
        <w:t>replaced “he/she” with “they”</w:t>
      </w:r>
    </w:p>
    <w:p w14:paraId="3E7FDB78" w14:textId="77777777" w:rsidR="00674BFB" w:rsidRDefault="00674BFB" w:rsidP="00674BFB">
      <w:pPr>
        <w:rPr>
          <w:rFonts w:ascii="Arial" w:hAnsi="Arial" w:cs="Arial"/>
          <w:b/>
          <w:bCs/>
          <w:i/>
          <w:iCs/>
          <w:sz w:val="24"/>
          <w:szCs w:val="24"/>
        </w:rPr>
      </w:pPr>
      <w:r>
        <w:rPr>
          <w:rFonts w:ascii="Arial" w:hAnsi="Arial" w:cs="Arial"/>
          <w:b/>
          <w:bCs/>
          <w:i/>
          <w:iCs/>
          <w:sz w:val="24"/>
          <w:szCs w:val="24"/>
        </w:rPr>
        <w:t xml:space="preserve">Pg 11(para 44) </w:t>
      </w:r>
      <w:r>
        <w:rPr>
          <w:rFonts w:ascii="Arial" w:hAnsi="Arial" w:cs="Arial"/>
          <w:i/>
          <w:iCs/>
          <w:sz w:val="24"/>
          <w:szCs w:val="24"/>
        </w:rPr>
        <w:t xml:space="preserve">replaced “his/her” with “they”; </w:t>
      </w:r>
      <w:r>
        <w:rPr>
          <w:rFonts w:ascii="Arial" w:hAnsi="Arial" w:cs="Arial"/>
          <w:b/>
          <w:bCs/>
          <w:i/>
          <w:iCs/>
          <w:sz w:val="24"/>
          <w:szCs w:val="24"/>
        </w:rPr>
        <w:t xml:space="preserve">(para 45) </w:t>
      </w:r>
      <w:r>
        <w:rPr>
          <w:rFonts w:ascii="Arial" w:hAnsi="Arial" w:cs="Arial"/>
          <w:i/>
          <w:iCs/>
          <w:sz w:val="24"/>
          <w:szCs w:val="24"/>
        </w:rPr>
        <w:t>replaced “his/her” with “their”</w:t>
      </w:r>
    </w:p>
    <w:p w14:paraId="4A135EAA" w14:textId="77777777" w:rsidR="00674BFB" w:rsidRDefault="00674BFB" w:rsidP="00674BFB">
      <w:pPr>
        <w:rPr>
          <w:rFonts w:ascii="Arial" w:hAnsi="Arial" w:cs="Arial"/>
          <w:i/>
          <w:iCs/>
          <w:sz w:val="24"/>
          <w:szCs w:val="24"/>
        </w:rPr>
      </w:pPr>
      <w:r>
        <w:rPr>
          <w:rFonts w:ascii="Arial" w:hAnsi="Arial" w:cs="Arial"/>
          <w:b/>
          <w:bCs/>
          <w:i/>
          <w:iCs/>
          <w:sz w:val="24"/>
          <w:szCs w:val="24"/>
        </w:rPr>
        <w:t xml:space="preserve"> (para 48) </w:t>
      </w:r>
      <w:r>
        <w:rPr>
          <w:rFonts w:ascii="Arial" w:hAnsi="Arial" w:cs="Arial"/>
          <w:i/>
          <w:iCs/>
          <w:sz w:val="24"/>
          <w:szCs w:val="24"/>
        </w:rPr>
        <w:t xml:space="preserve">replaced “he/she” with “they”; </w:t>
      </w:r>
      <w:r>
        <w:rPr>
          <w:rFonts w:ascii="Arial" w:hAnsi="Arial" w:cs="Arial"/>
          <w:b/>
          <w:bCs/>
          <w:i/>
          <w:iCs/>
          <w:sz w:val="24"/>
          <w:szCs w:val="24"/>
        </w:rPr>
        <w:t xml:space="preserve">(para 49) </w:t>
      </w:r>
      <w:r>
        <w:rPr>
          <w:rFonts w:ascii="Arial" w:hAnsi="Arial" w:cs="Arial"/>
          <w:i/>
          <w:iCs/>
          <w:sz w:val="24"/>
          <w:szCs w:val="24"/>
        </w:rPr>
        <w:t xml:space="preserve">replaced “his/hers” with their; replaced “he/she” with “they”; </w:t>
      </w:r>
      <w:r>
        <w:rPr>
          <w:rFonts w:ascii="Arial" w:hAnsi="Arial" w:cs="Arial"/>
          <w:b/>
          <w:bCs/>
          <w:i/>
          <w:iCs/>
          <w:sz w:val="24"/>
          <w:szCs w:val="24"/>
        </w:rPr>
        <w:t xml:space="preserve">(para 50) </w:t>
      </w:r>
      <w:r>
        <w:rPr>
          <w:rFonts w:ascii="Arial" w:hAnsi="Arial" w:cs="Arial"/>
          <w:i/>
          <w:iCs/>
          <w:sz w:val="24"/>
          <w:szCs w:val="24"/>
        </w:rPr>
        <w:t>replaced “he/she” with “they”; replaced “his/hers” with their</w:t>
      </w:r>
    </w:p>
    <w:p w14:paraId="642371F4" w14:textId="77777777" w:rsidR="00674BFB" w:rsidRDefault="00674BFB" w:rsidP="00674BFB">
      <w:pPr>
        <w:rPr>
          <w:rFonts w:ascii="Arial" w:hAnsi="Arial" w:cs="Arial"/>
          <w:i/>
          <w:iCs/>
          <w:sz w:val="24"/>
          <w:szCs w:val="24"/>
        </w:rPr>
      </w:pPr>
      <w:r>
        <w:rPr>
          <w:rFonts w:ascii="Arial" w:hAnsi="Arial" w:cs="Arial"/>
          <w:b/>
          <w:bCs/>
          <w:i/>
          <w:iCs/>
          <w:sz w:val="24"/>
          <w:szCs w:val="24"/>
        </w:rPr>
        <w:t>Pg 12 (para 52)</w:t>
      </w:r>
      <w:r>
        <w:rPr>
          <w:rFonts w:ascii="Arial" w:hAnsi="Arial" w:cs="Arial"/>
          <w:i/>
          <w:iCs/>
          <w:sz w:val="24"/>
          <w:szCs w:val="24"/>
        </w:rPr>
        <w:t xml:space="preserve"> replaced “his/hers” with their</w:t>
      </w:r>
    </w:p>
    <w:p w14:paraId="3ED78172" w14:textId="77777777" w:rsidR="00674BFB" w:rsidRDefault="00674BFB" w:rsidP="00674BFB">
      <w:pPr>
        <w:rPr>
          <w:rFonts w:ascii="Arial" w:hAnsi="Arial" w:cs="Arial"/>
          <w:i/>
          <w:iCs/>
          <w:sz w:val="24"/>
          <w:szCs w:val="24"/>
        </w:rPr>
      </w:pPr>
      <w:r>
        <w:rPr>
          <w:rFonts w:ascii="Arial" w:hAnsi="Arial" w:cs="Arial"/>
          <w:b/>
          <w:bCs/>
          <w:i/>
          <w:iCs/>
          <w:sz w:val="24"/>
          <w:szCs w:val="24"/>
        </w:rPr>
        <w:t>Pg 14 (para 68)</w:t>
      </w:r>
      <w:r>
        <w:rPr>
          <w:rFonts w:ascii="Arial" w:hAnsi="Arial" w:cs="Arial"/>
          <w:i/>
          <w:iCs/>
          <w:sz w:val="24"/>
          <w:szCs w:val="24"/>
        </w:rPr>
        <w:t xml:space="preserve"> replaced “he/her” with they</w:t>
      </w:r>
    </w:p>
    <w:p w14:paraId="6C8DCA27" w14:textId="77777777" w:rsidR="00674BFB" w:rsidRDefault="00674BFB" w:rsidP="00674BFB">
      <w:pPr>
        <w:rPr>
          <w:rFonts w:ascii="Arial" w:hAnsi="Arial" w:cs="Arial"/>
          <w:i/>
          <w:iCs/>
          <w:sz w:val="24"/>
          <w:szCs w:val="24"/>
        </w:rPr>
      </w:pPr>
      <w:r>
        <w:rPr>
          <w:rFonts w:ascii="Arial" w:hAnsi="Arial" w:cs="Arial"/>
          <w:b/>
          <w:bCs/>
          <w:i/>
          <w:iCs/>
          <w:sz w:val="24"/>
          <w:szCs w:val="24"/>
        </w:rPr>
        <w:t>Pg 15 (para 77)</w:t>
      </w:r>
      <w:r>
        <w:rPr>
          <w:rFonts w:ascii="Arial" w:hAnsi="Arial" w:cs="Arial"/>
          <w:i/>
          <w:iCs/>
          <w:sz w:val="24"/>
          <w:szCs w:val="24"/>
        </w:rPr>
        <w:t xml:space="preserve"> – inserted link to Annex 1; para 78 - inserted link to Annex 1</w:t>
      </w:r>
    </w:p>
    <w:p w14:paraId="16912EE9" w14:textId="77777777" w:rsidR="00674BFB" w:rsidRDefault="00674BFB" w:rsidP="00674BFB">
      <w:pPr>
        <w:rPr>
          <w:rFonts w:ascii="Arial" w:hAnsi="Arial" w:cs="Arial"/>
          <w:i/>
          <w:iCs/>
          <w:sz w:val="24"/>
          <w:szCs w:val="24"/>
        </w:rPr>
      </w:pPr>
      <w:r>
        <w:rPr>
          <w:rFonts w:ascii="Arial" w:hAnsi="Arial" w:cs="Arial"/>
          <w:b/>
          <w:bCs/>
          <w:i/>
          <w:iCs/>
          <w:sz w:val="24"/>
          <w:szCs w:val="24"/>
        </w:rPr>
        <w:t>Pg 16</w:t>
      </w:r>
      <w:r>
        <w:rPr>
          <w:rFonts w:ascii="Arial" w:hAnsi="Arial" w:cs="Arial"/>
          <w:i/>
          <w:iCs/>
          <w:sz w:val="24"/>
          <w:szCs w:val="24"/>
        </w:rPr>
        <w:t xml:space="preserve"> </w:t>
      </w:r>
      <w:r>
        <w:rPr>
          <w:rFonts w:ascii="Arial" w:hAnsi="Arial" w:cs="Arial"/>
          <w:b/>
          <w:bCs/>
          <w:i/>
          <w:iCs/>
          <w:sz w:val="24"/>
          <w:szCs w:val="24"/>
        </w:rPr>
        <w:t>(para 79)</w:t>
      </w:r>
      <w:r>
        <w:rPr>
          <w:rFonts w:ascii="Arial" w:hAnsi="Arial" w:cs="Arial"/>
          <w:i/>
          <w:iCs/>
          <w:sz w:val="24"/>
          <w:szCs w:val="24"/>
        </w:rPr>
        <w:t xml:space="preserve"> – inserted links to Annex 2 and Appendix 1,2,3,4,5,6</w:t>
      </w:r>
    </w:p>
    <w:p w14:paraId="5AC1541E" w14:textId="77777777" w:rsidR="00674BFB" w:rsidRDefault="00674BFB" w:rsidP="00674BFB">
      <w:pPr>
        <w:rPr>
          <w:rFonts w:ascii="Arial" w:hAnsi="Arial" w:cs="Arial"/>
          <w:i/>
          <w:iCs/>
          <w:sz w:val="24"/>
          <w:szCs w:val="24"/>
        </w:rPr>
      </w:pPr>
      <w:r>
        <w:rPr>
          <w:rFonts w:ascii="Arial" w:hAnsi="Arial" w:cs="Arial"/>
          <w:b/>
          <w:bCs/>
          <w:i/>
          <w:iCs/>
          <w:sz w:val="24"/>
          <w:szCs w:val="24"/>
        </w:rPr>
        <w:t xml:space="preserve">Ph 17 (para 87) </w:t>
      </w:r>
      <w:r>
        <w:rPr>
          <w:rFonts w:ascii="Arial" w:hAnsi="Arial" w:cs="Arial"/>
          <w:i/>
          <w:iCs/>
          <w:sz w:val="24"/>
          <w:szCs w:val="24"/>
        </w:rPr>
        <w:t>replaced “his/her” with “their”</w:t>
      </w:r>
    </w:p>
    <w:p w14:paraId="45C4FAEF" w14:textId="77777777" w:rsidR="00674BFB" w:rsidRDefault="00674BFB" w:rsidP="00674BFB">
      <w:pPr>
        <w:rPr>
          <w:rFonts w:ascii="Arial" w:hAnsi="Arial" w:cs="Arial"/>
          <w:i/>
          <w:iCs/>
          <w:sz w:val="24"/>
          <w:szCs w:val="24"/>
        </w:rPr>
      </w:pPr>
      <w:r>
        <w:rPr>
          <w:rFonts w:ascii="Arial" w:hAnsi="Arial" w:cs="Arial"/>
          <w:b/>
          <w:bCs/>
          <w:i/>
          <w:iCs/>
          <w:sz w:val="24"/>
          <w:szCs w:val="24"/>
        </w:rPr>
        <w:t>Pg 18 (para 94)</w:t>
      </w:r>
      <w:r>
        <w:rPr>
          <w:rFonts w:ascii="Arial" w:hAnsi="Arial" w:cs="Arial"/>
          <w:i/>
          <w:iCs/>
          <w:sz w:val="24"/>
          <w:szCs w:val="24"/>
        </w:rPr>
        <w:t xml:space="preserve"> - inserted link to Annex 2 and Appendix 4,5</w:t>
      </w:r>
    </w:p>
    <w:p w14:paraId="30DB7C37" w14:textId="77777777" w:rsidR="00674BFB" w:rsidRDefault="00674BFB" w:rsidP="00674BFB">
      <w:pPr>
        <w:rPr>
          <w:rFonts w:ascii="Arial" w:hAnsi="Arial" w:cs="Arial"/>
          <w:i/>
          <w:iCs/>
          <w:sz w:val="24"/>
          <w:szCs w:val="24"/>
        </w:rPr>
      </w:pPr>
      <w:r>
        <w:rPr>
          <w:rFonts w:ascii="Arial" w:hAnsi="Arial" w:cs="Arial"/>
          <w:b/>
          <w:bCs/>
          <w:i/>
          <w:iCs/>
          <w:sz w:val="24"/>
          <w:szCs w:val="24"/>
        </w:rPr>
        <w:t>Pg 21 (para 5)</w:t>
      </w:r>
      <w:r>
        <w:rPr>
          <w:rFonts w:ascii="Arial" w:hAnsi="Arial" w:cs="Arial"/>
          <w:i/>
          <w:iCs/>
          <w:sz w:val="24"/>
          <w:szCs w:val="24"/>
        </w:rPr>
        <w:t xml:space="preserve"> – replaced “2021” with “2022”; </w:t>
      </w:r>
      <w:r>
        <w:rPr>
          <w:rFonts w:ascii="Arial" w:hAnsi="Arial" w:cs="Arial"/>
          <w:b/>
          <w:bCs/>
          <w:i/>
          <w:iCs/>
          <w:sz w:val="24"/>
          <w:szCs w:val="24"/>
        </w:rPr>
        <w:t xml:space="preserve">(para 4) </w:t>
      </w:r>
      <w:r>
        <w:rPr>
          <w:rFonts w:ascii="Arial" w:hAnsi="Arial" w:cs="Arial"/>
          <w:i/>
          <w:iCs/>
          <w:sz w:val="24"/>
          <w:szCs w:val="24"/>
        </w:rPr>
        <w:t>“replaced “his/her” with “their”</w:t>
      </w:r>
    </w:p>
    <w:p w14:paraId="6F391834"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22 (para 9) </w:t>
      </w:r>
      <w:r>
        <w:rPr>
          <w:rFonts w:ascii="Arial" w:hAnsi="Arial" w:cs="Arial"/>
          <w:i/>
          <w:iCs/>
          <w:sz w:val="24"/>
          <w:szCs w:val="24"/>
        </w:rPr>
        <w:t>– replaced “his/her” with “their”</w:t>
      </w:r>
    </w:p>
    <w:p w14:paraId="7C627501" w14:textId="77777777" w:rsidR="00674BFB" w:rsidRDefault="00674BFB" w:rsidP="00674BFB">
      <w:pPr>
        <w:rPr>
          <w:rFonts w:ascii="Arial" w:hAnsi="Arial" w:cs="Arial"/>
          <w:i/>
          <w:iCs/>
          <w:sz w:val="24"/>
          <w:szCs w:val="24"/>
        </w:rPr>
      </w:pPr>
      <w:r>
        <w:rPr>
          <w:rFonts w:ascii="Arial" w:hAnsi="Arial" w:cs="Arial"/>
          <w:b/>
          <w:bCs/>
          <w:i/>
          <w:iCs/>
          <w:sz w:val="24"/>
          <w:szCs w:val="24"/>
        </w:rPr>
        <w:t>Pg 26</w:t>
      </w:r>
      <w:r>
        <w:rPr>
          <w:rFonts w:ascii="Arial" w:hAnsi="Arial" w:cs="Arial"/>
          <w:i/>
          <w:iCs/>
          <w:sz w:val="24"/>
          <w:szCs w:val="24"/>
        </w:rPr>
        <w:t xml:space="preserve"> – updated the page numbers in the table of contents</w:t>
      </w:r>
    </w:p>
    <w:p w14:paraId="682F99C7" w14:textId="77777777" w:rsidR="00674BFB" w:rsidRDefault="00674BFB" w:rsidP="00674BFB">
      <w:pPr>
        <w:rPr>
          <w:rFonts w:ascii="Arial" w:hAnsi="Arial" w:cs="Arial"/>
          <w:i/>
          <w:iCs/>
          <w:sz w:val="24"/>
          <w:szCs w:val="24"/>
        </w:rPr>
      </w:pPr>
      <w:r>
        <w:rPr>
          <w:rFonts w:ascii="Arial" w:hAnsi="Arial" w:cs="Arial"/>
          <w:b/>
          <w:bCs/>
          <w:i/>
          <w:iCs/>
          <w:sz w:val="24"/>
          <w:szCs w:val="24"/>
        </w:rPr>
        <w:lastRenderedPageBreak/>
        <w:t>Pg 27 (para 2)</w:t>
      </w:r>
      <w:r>
        <w:rPr>
          <w:rFonts w:ascii="Arial" w:hAnsi="Arial" w:cs="Arial"/>
          <w:i/>
          <w:iCs/>
          <w:sz w:val="24"/>
          <w:szCs w:val="24"/>
        </w:rPr>
        <w:t xml:space="preserve"> – added in “and Social Care”</w:t>
      </w:r>
    </w:p>
    <w:p w14:paraId="052B4F39" w14:textId="77777777" w:rsidR="00674BFB" w:rsidRDefault="00674BFB" w:rsidP="00674BFB">
      <w:pPr>
        <w:rPr>
          <w:rFonts w:ascii="Arial" w:hAnsi="Arial" w:cs="Arial"/>
          <w:i/>
          <w:iCs/>
          <w:sz w:val="24"/>
          <w:szCs w:val="24"/>
        </w:rPr>
      </w:pPr>
      <w:r>
        <w:rPr>
          <w:rFonts w:ascii="Arial" w:hAnsi="Arial" w:cs="Arial"/>
          <w:b/>
          <w:bCs/>
          <w:i/>
          <w:iCs/>
          <w:sz w:val="24"/>
          <w:szCs w:val="24"/>
        </w:rPr>
        <w:t>Pg 28 (para 6)</w:t>
      </w:r>
      <w:r>
        <w:rPr>
          <w:rFonts w:ascii="Arial" w:hAnsi="Arial" w:cs="Arial"/>
          <w:i/>
          <w:iCs/>
          <w:sz w:val="24"/>
          <w:szCs w:val="24"/>
        </w:rPr>
        <w:t xml:space="preserve"> – replaced “Secretary of State for Health” with “Secretary of State for Health and Social Care”</w:t>
      </w:r>
    </w:p>
    <w:p w14:paraId="698AEEB5" w14:textId="77777777" w:rsidR="00674BFB" w:rsidRDefault="00674BFB" w:rsidP="00674BFB">
      <w:pPr>
        <w:rPr>
          <w:rFonts w:ascii="Arial" w:hAnsi="Arial" w:cs="Arial"/>
          <w:i/>
          <w:iCs/>
          <w:sz w:val="24"/>
          <w:szCs w:val="24"/>
        </w:rPr>
      </w:pPr>
      <w:r>
        <w:rPr>
          <w:rFonts w:ascii="Arial" w:hAnsi="Arial" w:cs="Arial"/>
          <w:b/>
          <w:bCs/>
          <w:i/>
          <w:iCs/>
          <w:sz w:val="24"/>
          <w:szCs w:val="24"/>
        </w:rPr>
        <w:t>Pg 28 (para 7e)</w:t>
      </w:r>
      <w:r>
        <w:rPr>
          <w:rFonts w:ascii="Arial" w:hAnsi="Arial" w:cs="Arial"/>
          <w:i/>
          <w:iCs/>
          <w:sz w:val="24"/>
          <w:szCs w:val="24"/>
        </w:rPr>
        <w:t xml:space="preserve"> - replaced “Secretary of State for Health” with “Secretary of State for Health and Social Care”</w:t>
      </w:r>
    </w:p>
    <w:p w14:paraId="11F48E04"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29 (para 9) </w:t>
      </w:r>
      <w:r>
        <w:rPr>
          <w:rFonts w:ascii="Arial" w:hAnsi="Arial" w:cs="Arial"/>
          <w:i/>
          <w:iCs/>
          <w:sz w:val="24"/>
          <w:szCs w:val="24"/>
        </w:rPr>
        <w:t>– replaced “his/her” with “their”</w:t>
      </w:r>
    </w:p>
    <w:p w14:paraId="6DF8F762" w14:textId="77777777" w:rsidR="00674BFB" w:rsidRDefault="00674BFB" w:rsidP="00674BFB">
      <w:pPr>
        <w:rPr>
          <w:rFonts w:ascii="Arial" w:hAnsi="Arial" w:cs="Arial"/>
          <w:i/>
          <w:iCs/>
          <w:sz w:val="24"/>
          <w:szCs w:val="24"/>
        </w:rPr>
      </w:pPr>
      <w:r>
        <w:rPr>
          <w:rFonts w:ascii="Arial" w:hAnsi="Arial" w:cs="Arial"/>
          <w:b/>
          <w:bCs/>
          <w:i/>
          <w:iCs/>
          <w:sz w:val="24"/>
          <w:szCs w:val="24"/>
        </w:rPr>
        <w:t>Pg 30 (para 11e)</w:t>
      </w:r>
      <w:r>
        <w:rPr>
          <w:rFonts w:ascii="Arial" w:hAnsi="Arial" w:cs="Arial"/>
          <w:i/>
          <w:iCs/>
          <w:sz w:val="24"/>
          <w:szCs w:val="24"/>
        </w:rPr>
        <w:t xml:space="preserve"> – Updated the link to the Cabinet Office’s guidance for public bodies, specifically, </w:t>
      </w:r>
      <w:hyperlink r:id="rId12" w:history="1">
        <w:r>
          <w:rPr>
            <w:rStyle w:val="Hyperlink"/>
            <w:rFonts w:ascii="Arial" w:hAnsi="Arial" w:cs="Arial"/>
            <w:i/>
            <w:iCs/>
            <w:sz w:val="24"/>
            <w:szCs w:val="24"/>
          </w:rPr>
          <w:t>Chapter 8: Policy – Openness and Accountability</w:t>
        </w:r>
      </w:hyperlink>
      <w:r>
        <w:rPr>
          <w:rFonts w:ascii="Arial" w:hAnsi="Arial" w:cs="Arial"/>
          <w:sz w:val="24"/>
          <w:szCs w:val="24"/>
        </w:rPr>
        <w:t xml:space="preserve">; </w:t>
      </w:r>
      <w:r>
        <w:rPr>
          <w:rFonts w:ascii="Arial" w:hAnsi="Arial" w:cs="Arial"/>
          <w:b/>
          <w:bCs/>
          <w:sz w:val="24"/>
          <w:szCs w:val="24"/>
        </w:rPr>
        <w:t xml:space="preserve">(para 12) </w:t>
      </w:r>
      <w:r>
        <w:rPr>
          <w:rFonts w:ascii="Arial" w:hAnsi="Arial" w:cs="Arial"/>
          <w:sz w:val="24"/>
          <w:szCs w:val="24"/>
        </w:rPr>
        <w:t>replaced “his/her” with “their”</w:t>
      </w:r>
      <w:r>
        <w:rPr>
          <w:sz w:val="24"/>
          <w:szCs w:val="24"/>
        </w:rPr>
        <w:t xml:space="preserve"> </w:t>
      </w:r>
    </w:p>
    <w:p w14:paraId="033752D5" w14:textId="77777777" w:rsidR="00674BFB" w:rsidRDefault="00674BFB" w:rsidP="00674BFB">
      <w:pPr>
        <w:rPr>
          <w:rFonts w:ascii="Arial" w:hAnsi="Arial" w:cs="Arial"/>
          <w:i/>
          <w:iCs/>
          <w:sz w:val="24"/>
          <w:szCs w:val="24"/>
        </w:rPr>
      </w:pPr>
      <w:r>
        <w:rPr>
          <w:rFonts w:ascii="Arial" w:hAnsi="Arial" w:cs="Arial"/>
          <w:b/>
          <w:bCs/>
          <w:i/>
          <w:iCs/>
          <w:sz w:val="24"/>
          <w:szCs w:val="24"/>
        </w:rPr>
        <w:t>Pg 31 (para 15)</w:t>
      </w:r>
      <w:r>
        <w:rPr>
          <w:rFonts w:ascii="Arial" w:hAnsi="Arial" w:cs="Arial"/>
          <w:i/>
          <w:iCs/>
          <w:sz w:val="24"/>
          <w:szCs w:val="24"/>
        </w:rPr>
        <w:t xml:space="preserve"> – inserted link to Appendix 1</w:t>
      </w:r>
    </w:p>
    <w:p w14:paraId="7C715BF7" w14:textId="77777777" w:rsidR="00674BFB" w:rsidRDefault="00674BFB" w:rsidP="00674BFB">
      <w:pPr>
        <w:rPr>
          <w:rFonts w:ascii="Arial" w:hAnsi="Arial" w:cs="Arial"/>
          <w:i/>
          <w:iCs/>
          <w:sz w:val="24"/>
          <w:szCs w:val="24"/>
        </w:rPr>
      </w:pPr>
      <w:r>
        <w:rPr>
          <w:rFonts w:ascii="Arial" w:hAnsi="Arial" w:cs="Arial"/>
          <w:b/>
          <w:bCs/>
          <w:i/>
          <w:iCs/>
          <w:sz w:val="24"/>
          <w:szCs w:val="24"/>
        </w:rPr>
        <w:t>Pg 32 (para 17)</w:t>
      </w:r>
      <w:r>
        <w:rPr>
          <w:rFonts w:ascii="Arial" w:hAnsi="Arial" w:cs="Arial"/>
          <w:i/>
          <w:iCs/>
          <w:sz w:val="24"/>
          <w:szCs w:val="24"/>
        </w:rPr>
        <w:t xml:space="preserve"> - inserted link to Appendix 6</w:t>
      </w:r>
    </w:p>
    <w:p w14:paraId="23E2017B" w14:textId="77777777" w:rsidR="00674BFB" w:rsidRDefault="00674BFB" w:rsidP="00674BFB">
      <w:pPr>
        <w:rPr>
          <w:rFonts w:ascii="Arial" w:hAnsi="Arial" w:cs="Arial"/>
          <w:i/>
          <w:iCs/>
          <w:sz w:val="24"/>
          <w:szCs w:val="24"/>
        </w:rPr>
      </w:pPr>
      <w:r>
        <w:rPr>
          <w:rFonts w:ascii="Arial" w:hAnsi="Arial" w:cs="Arial"/>
          <w:b/>
          <w:bCs/>
          <w:i/>
          <w:iCs/>
          <w:sz w:val="24"/>
          <w:szCs w:val="24"/>
        </w:rPr>
        <w:t xml:space="preserve">Pg 35 (para 29) </w:t>
      </w:r>
      <w:r>
        <w:rPr>
          <w:rFonts w:ascii="Arial" w:hAnsi="Arial" w:cs="Arial"/>
          <w:i/>
          <w:iCs/>
          <w:sz w:val="24"/>
          <w:szCs w:val="24"/>
        </w:rPr>
        <w:t>replaced he/she with they</w:t>
      </w:r>
    </w:p>
    <w:p w14:paraId="305F81B5" w14:textId="77777777" w:rsidR="00674BFB" w:rsidRDefault="00674BFB" w:rsidP="00674BFB">
      <w:pPr>
        <w:rPr>
          <w:rFonts w:ascii="Arial" w:hAnsi="Arial" w:cs="Arial"/>
          <w:i/>
          <w:iCs/>
          <w:sz w:val="24"/>
          <w:szCs w:val="24"/>
        </w:rPr>
      </w:pPr>
      <w:r>
        <w:rPr>
          <w:rFonts w:ascii="Arial" w:hAnsi="Arial" w:cs="Arial"/>
          <w:b/>
          <w:bCs/>
          <w:i/>
          <w:iCs/>
          <w:sz w:val="24"/>
          <w:szCs w:val="24"/>
        </w:rPr>
        <w:t>Pg 36 (para 36)</w:t>
      </w:r>
      <w:r>
        <w:rPr>
          <w:rFonts w:ascii="Arial" w:hAnsi="Arial" w:cs="Arial"/>
          <w:i/>
          <w:iCs/>
          <w:sz w:val="24"/>
          <w:szCs w:val="24"/>
        </w:rPr>
        <w:t xml:space="preserve"> – replaced the word “issues” with “issued” </w:t>
      </w:r>
    </w:p>
    <w:p w14:paraId="5AFFD52B" w14:textId="77777777" w:rsidR="00674BFB" w:rsidRDefault="00674BFB" w:rsidP="00674BFB">
      <w:pPr>
        <w:rPr>
          <w:rFonts w:ascii="Arial" w:hAnsi="Arial" w:cs="Arial"/>
          <w:i/>
          <w:iCs/>
          <w:sz w:val="24"/>
          <w:szCs w:val="24"/>
        </w:rPr>
      </w:pPr>
      <w:r>
        <w:rPr>
          <w:rFonts w:ascii="Arial" w:hAnsi="Arial" w:cs="Arial"/>
          <w:b/>
          <w:bCs/>
          <w:i/>
          <w:iCs/>
          <w:sz w:val="24"/>
          <w:szCs w:val="24"/>
        </w:rPr>
        <w:t>Pg 38 (para 41)</w:t>
      </w:r>
      <w:r>
        <w:rPr>
          <w:rFonts w:ascii="Arial" w:hAnsi="Arial" w:cs="Arial"/>
          <w:i/>
          <w:iCs/>
          <w:sz w:val="24"/>
          <w:szCs w:val="24"/>
        </w:rPr>
        <w:t xml:space="preserve"> - Updated the link to the Cabinet Office’s guidance for public bodies, specifically, Chapter 6: Financial Management – Accountability</w:t>
      </w:r>
    </w:p>
    <w:p w14:paraId="0E50664C" w14:textId="77777777" w:rsidR="00674BFB" w:rsidRDefault="00674BFB" w:rsidP="00674BFB">
      <w:pPr>
        <w:rPr>
          <w:rFonts w:ascii="Arial" w:hAnsi="Arial" w:cs="Arial"/>
          <w:i/>
          <w:iCs/>
          <w:sz w:val="24"/>
          <w:szCs w:val="24"/>
        </w:rPr>
      </w:pPr>
      <w:r>
        <w:rPr>
          <w:rFonts w:ascii="Arial" w:hAnsi="Arial" w:cs="Arial"/>
          <w:b/>
          <w:bCs/>
          <w:i/>
          <w:iCs/>
          <w:sz w:val="24"/>
          <w:szCs w:val="24"/>
        </w:rPr>
        <w:t>Pg 40</w:t>
      </w:r>
      <w:r>
        <w:rPr>
          <w:rFonts w:ascii="Arial" w:hAnsi="Arial" w:cs="Arial"/>
          <w:i/>
          <w:iCs/>
          <w:sz w:val="24"/>
          <w:szCs w:val="24"/>
        </w:rPr>
        <w:t xml:space="preserve"> – Updated the wording of the seven principles in Appendix 1 to reflect the wording on the Government website </w:t>
      </w:r>
      <w:r>
        <w:rPr>
          <w:rFonts w:ascii="Wingdings" w:hAnsi="Wingdings"/>
          <w:i/>
          <w:iCs/>
          <w:sz w:val="24"/>
          <w:szCs w:val="24"/>
        </w:rPr>
        <w:t>à</w:t>
      </w:r>
      <w:r>
        <w:rPr>
          <w:rFonts w:ascii="Arial" w:hAnsi="Arial" w:cs="Arial"/>
          <w:i/>
          <w:iCs/>
          <w:sz w:val="24"/>
          <w:szCs w:val="24"/>
        </w:rPr>
        <w:t xml:space="preserve"> </w:t>
      </w:r>
      <w:hyperlink r:id="rId13" w:history="1">
        <w:r>
          <w:rPr>
            <w:rStyle w:val="Hyperlink"/>
            <w:rFonts w:ascii="Arial" w:hAnsi="Arial" w:cs="Arial"/>
            <w:i/>
            <w:iCs/>
            <w:sz w:val="24"/>
            <w:szCs w:val="24"/>
          </w:rPr>
          <w:t>The Seven Principles of Public Life - GOV.UK (www.gov.uk)</w:t>
        </w:r>
      </w:hyperlink>
    </w:p>
    <w:p w14:paraId="3D7138B8" w14:textId="77777777" w:rsidR="00674BFB" w:rsidRDefault="00674BFB" w:rsidP="00674BFB">
      <w:pPr>
        <w:rPr>
          <w:rFonts w:ascii="Arial" w:hAnsi="Arial" w:cs="Arial"/>
          <w:i/>
          <w:iCs/>
          <w:sz w:val="24"/>
          <w:szCs w:val="24"/>
        </w:rPr>
      </w:pPr>
      <w:r>
        <w:rPr>
          <w:rFonts w:ascii="Arial" w:hAnsi="Arial" w:cs="Arial"/>
          <w:i/>
          <w:iCs/>
          <w:sz w:val="24"/>
          <w:szCs w:val="24"/>
        </w:rPr>
        <w:t>Selflessness – removed “They should not do so in order to gain financial or other material benefits for themselves, their family, or their friends.”</w:t>
      </w:r>
    </w:p>
    <w:p w14:paraId="3B99ACC8" w14:textId="77777777" w:rsidR="00674BFB" w:rsidRDefault="00674BFB" w:rsidP="00674BFB">
      <w:pPr>
        <w:rPr>
          <w:rFonts w:ascii="Arial" w:hAnsi="Arial" w:cs="Arial"/>
          <w:i/>
          <w:iCs/>
          <w:sz w:val="24"/>
          <w:szCs w:val="24"/>
        </w:rPr>
      </w:pPr>
      <w:r>
        <w:rPr>
          <w:rFonts w:ascii="Arial" w:hAnsi="Arial" w:cs="Arial"/>
          <w:i/>
          <w:iCs/>
          <w:sz w:val="24"/>
          <w:szCs w:val="24"/>
        </w:rPr>
        <w:t>Integrity – Replaced “Holders of public office should not place themselves under any financial or other obligation to outside individuals or organisations that might influence them in the performance of their official duties” with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1864881"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i/>
          <w:iCs/>
          <w:sz w:val="24"/>
          <w:szCs w:val="24"/>
        </w:rPr>
        <w:t>Objectivity – replaced “In carrying out public business, including making public appointments, awarding contracts, or recommending individuals for rewards and benefits, holders of public office should make choices on merits” with “Holders of public office must act and take decisions impartially, fairly and on merit, using the best evidence and without discrimination or bias”.</w:t>
      </w:r>
    </w:p>
    <w:p w14:paraId="67983A27"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i/>
          <w:iCs/>
          <w:sz w:val="24"/>
          <w:szCs w:val="24"/>
        </w:rPr>
        <w:t xml:space="preserve">Accountability – replaced “Holders of public office are accountable for their decisions and actions to the public and must submit themselves to whatever scrutiny is appropriate to their office” with “Holders of public office are accountable to the public </w:t>
      </w:r>
      <w:r>
        <w:rPr>
          <w:rFonts w:ascii="Arial" w:hAnsi="Arial" w:cs="Arial"/>
          <w:i/>
          <w:iCs/>
          <w:sz w:val="24"/>
          <w:szCs w:val="24"/>
        </w:rPr>
        <w:lastRenderedPageBreak/>
        <w:t>for their decisions and actions and must submit themselves to the scrutiny necessary to ensure this”</w:t>
      </w:r>
    </w:p>
    <w:p w14:paraId="55FBDA56"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i/>
          <w:iCs/>
          <w:sz w:val="24"/>
          <w:szCs w:val="24"/>
        </w:rPr>
        <w:t>Openness – replaced “Holders of public office should be as open as possible about all the decisions and actions that they take. They should give reasons for their decisions and restrict information only when the wider public interest clearly demands” with “Holders of public office should act and take decisions in an open and transparent manner. Information should not be withheld from the public unless there are clear and lawful reasons for so doing”</w:t>
      </w:r>
    </w:p>
    <w:p w14:paraId="39F3EBDC"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i/>
          <w:iCs/>
          <w:sz w:val="24"/>
          <w:szCs w:val="24"/>
        </w:rPr>
        <w:t>Honesty – replaced “Holders of public office have a duty to declare any private interests relating to their public duties and to take steps to resolve any conflicts arising in a way that protects the public interests” with “Holders of public office should be truthful”</w:t>
      </w:r>
    </w:p>
    <w:p w14:paraId="5DAC2FDC"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i/>
          <w:iCs/>
          <w:sz w:val="24"/>
          <w:szCs w:val="24"/>
        </w:rPr>
        <w:t>Leadership – replaced “Holders of public office should promote and support these principles by leadership and example” with “Holders of public office should exhibit these principles in their own behaviour and treat others with respect. They should actively promote and robustly support the principles and challenge poor behaviour wherever it occurs”.</w:t>
      </w:r>
    </w:p>
    <w:p w14:paraId="0736D64C" w14:textId="66A5B263" w:rsidR="00674BFB" w:rsidRDefault="00674BFB" w:rsidP="00674BFB">
      <w:pPr>
        <w:autoSpaceDE w:val="0"/>
        <w:autoSpaceDN w:val="0"/>
        <w:spacing w:line="320" w:lineRule="exact"/>
        <w:rPr>
          <w:rFonts w:ascii="Arial" w:hAnsi="Arial" w:cs="Arial"/>
          <w:i/>
          <w:iCs/>
          <w:sz w:val="24"/>
          <w:szCs w:val="24"/>
        </w:rPr>
      </w:pPr>
      <w:r>
        <w:rPr>
          <w:rFonts w:ascii="Arial" w:hAnsi="Arial" w:cs="Arial"/>
          <w:b/>
          <w:bCs/>
          <w:i/>
          <w:iCs/>
          <w:sz w:val="24"/>
          <w:szCs w:val="24"/>
        </w:rPr>
        <w:t>Pg 43</w:t>
      </w:r>
      <w:r>
        <w:rPr>
          <w:rFonts w:ascii="Arial" w:hAnsi="Arial" w:cs="Arial"/>
          <w:i/>
          <w:iCs/>
          <w:sz w:val="24"/>
          <w:szCs w:val="24"/>
        </w:rPr>
        <w:t xml:space="preserve"> – Updated the dates of the associated documentation as per their last review date; replaced the word “transplant” with “living organ donation”</w:t>
      </w:r>
      <w:r w:rsidR="00D72A76">
        <w:rPr>
          <w:rFonts w:ascii="Arial" w:hAnsi="Arial" w:cs="Arial"/>
          <w:i/>
          <w:iCs/>
          <w:sz w:val="24"/>
          <w:szCs w:val="24"/>
        </w:rPr>
        <w:t xml:space="preserve"> </w:t>
      </w:r>
      <w:r w:rsidR="003B3282">
        <w:rPr>
          <w:rFonts w:ascii="Arial" w:hAnsi="Arial" w:cs="Arial"/>
          <w:i/>
          <w:iCs/>
          <w:sz w:val="24"/>
          <w:szCs w:val="24"/>
        </w:rPr>
        <w:t>and clarified this panel is decision making</w:t>
      </w:r>
      <w:r>
        <w:rPr>
          <w:rFonts w:ascii="Arial" w:hAnsi="Arial" w:cs="Arial"/>
          <w:i/>
          <w:iCs/>
          <w:sz w:val="24"/>
          <w:szCs w:val="24"/>
        </w:rPr>
        <w:t>; removed the various working groups (Histopathology Working Group, Stakeholder Group and Transplantation Advisory Group) and the associated document titled “HTA-TOR-003 Terms of Reference for Advisory Groups”; added the Insight Network as an Advisory Group to SMT</w:t>
      </w:r>
    </w:p>
    <w:p w14:paraId="5DC7C4F9" w14:textId="77777777" w:rsidR="00674BFB" w:rsidRDefault="00674BFB" w:rsidP="00674BFB">
      <w:pPr>
        <w:autoSpaceDE w:val="0"/>
        <w:autoSpaceDN w:val="0"/>
        <w:spacing w:line="320" w:lineRule="exact"/>
        <w:rPr>
          <w:rFonts w:ascii="Arial" w:hAnsi="Arial" w:cs="Arial"/>
          <w:i/>
          <w:iCs/>
          <w:sz w:val="24"/>
          <w:szCs w:val="24"/>
        </w:rPr>
      </w:pPr>
      <w:r>
        <w:rPr>
          <w:rFonts w:ascii="Arial" w:hAnsi="Arial" w:cs="Arial"/>
          <w:b/>
          <w:bCs/>
          <w:i/>
          <w:iCs/>
          <w:sz w:val="24"/>
          <w:szCs w:val="24"/>
        </w:rPr>
        <w:t>Pg 44</w:t>
      </w:r>
      <w:r>
        <w:rPr>
          <w:rFonts w:ascii="Arial" w:hAnsi="Arial" w:cs="Arial"/>
          <w:i/>
          <w:iCs/>
          <w:sz w:val="24"/>
          <w:szCs w:val="24"/>
        </w:rPr>
        <w:t xml:space="preserve"> – Replaced “HTA Management Group (HTAMG)” with “Business Delivery Team” and updated the title of the associated document from “HTA-TOR-005 Terms of Reference for HTA Management Group (HTAMG) (April 2017)” to “HTA-TOR-010 Terms of Reference – Business Delivery Team (October 2022)”; </w:t>
      </w:r>
      <w:r>
        <w:rPr>
          <w:rFonts w:ascii="Arial" w:hAnsi="Arial" w:cs="Arial"/>
          <w:b/>
          <w:bCs/>
          <w:i/>
          <w:iCs/>
          <w:sz w:val="24"/>
          <w:szCs w:val="24"/>
        </w:rPr>
        <w:t>(para 44)</w:t>
      </w:r>
      <w:r>
        <w:rPr>
          <w:rFonts w:ascii="Arial" w:hAnsi="Arial" w:cs="Arial"/>
          <w:i/>
          <w:iCs/>
          <w:sz w:val="24"/>
          <w:szCs w:val="24"/>
        </w:rPr>
        <w:t xml:space="preserve"> replaced “he/she” with “they”</w:t>
      </w:r>
    </w:p>
    <w:p w14:paraId="53DC7A78" w14:textId="77777777" w:rsidR="00674BFB" w:rsidRDefault="00674BFB" w:rsidP="00674BFB">
      <w:pPr>
        <w:pStyle w:val="ListParagraph"/>
        <w:numPr>
          <w:ilvl w:val="0"/>
          <w:numId w:val="12"/>
        </w:numPr>
        <w:suppressAutoHyphens w:val="0"/>
        <w:autoSpaceDE w:val="0"/>
        <w:spacing w:line="320" w:lineRule="exact"/>
        <w:rPr>
          <w:rFonts w:eastAsia="Times New Roman"/>
          <w:i/>
          <w:iCs/>
          <w:sz w:val="24"/>
          <w:szCs w:val="24"/>
        </w:rPr>
      </w:pPr>
      <w:r>
        <w:rPr>
          <w:rFonts w:eastAsia="Times New Roman"/>
          <w:i/>
          <w:iCs/>
          <w:sz w:val="24"/>
          <w:szCs w:val="24"/>
        </w:rPr>
        <w:t xml:space="preserve">the Living Organ Donation Decisions Making Meeting group was removed from the Decisions Making Groups </w:t>
      </w:r>
    </w:p>
    <w:p w14:paraId="4C532AA7" w14:textId="77777777" w:rsidR="00674BFB" w:rsidRDefault="00674BFB" w:rsidP="00674BFB">
      <w:pPr>
        <w:pStyle w:val="ListParagraph"/>
        <w:numPr>
          <w:ilvl w:val="0"/>
          <w:numId w:val="12"/>
        </w:numPr>
        <w:suppressAutoHyphens w:val="0"/>
        <w:autoSpaceDE w:val="0"/>
        <w:spacing w:line="320" w:lineRule="exact"/>
        <w:rPr>
          <w:rFonts w:eastAsia="Times New Roman"/>
          <w:i/>
          <w:iCs/>
          <w:sz w:val="24"/>
          <w:szCs w:val="24"/>
        </w:rPr>
      </w:pPr>
      <w:r>
        <w:rPr>
          <w:rFonts w:eastAsia="Times New Roman"/>
          <w:i/>
          <w:iCs/>
          <w:sz w:val="24"/>
          <w:szCs w:val="24"/>
        </w:rPr>
        <w:t>the words “transplant assessment” was replaced with “organ donation” from the individual decision-making section.</w:t>
      </w:r>
    </w:p>
    <w:p w14:paraId="2329478C" w14:textId="3271AB41" w:rsidR="006F567E" w:rsidRDefault="00674BFB" w:rsidP="04932FB2">
      <w:pPr>
        <w:autoSpaceDE w:val="0"/>
        <w:autoSpaceDN w:val="0"/>
        <w:spacing w:line="320" w:lineRule="exact"/>
        <w:rPr>
          <w:rFonts w:ascii="Arial" w:hAnsi="Arial" w:cs="Arial"/>
          <w:i/>
          <w:iCs/>
          <w:sz w:val="24"/>
          <w:szCs w:val="24"/>
        </w:rPr>
      </w:pPr>
      <w:r w:rsidRPr="04932FB2">
        <w:rPr>
          <w:rFonts w:ascii="Arial" w:hAnsi="Arial" w:cs="Arial"/>
          <w:b/>
          <w:bCs/>
          <w:i/>
          <w:iCs/>
          <w:sz w:val="24"/>
          <w:szCs w:val="24"/>
        </w:rPr>
        <w:t>Pg 45</w:t>
      </w:r>
      <w:r w:rsidRPr="04932FB2">
        <w:rPr>
          <w:rFonts w:ascii="Arial" w:hAnsi="Arial" w:cs="Arial"/>
          <w:i/>
          <w:iCs/>
          <w:sz w:val="24"/>
          <w:szCs w:val="24"/>
        </w:rPr>
        <w:t xml:space="preserve"> – Updated the ARAC TOR which was approved by the Board in March 2023 </w:t>
      </w:r>
    </w:p>
    <w:p w14:paraId="43E03F53" w14:textId="7D117E5A" w:rsidR="00674BFB" w:rsidRDefault="00674BFB" w:rsidP="00674BFB">
      <w:pPr>
        <w:autoSpaceDE w:val="0"/>
        <w:autoSpaceDN w:val="0"/>
        <w:spacing w:line="320" w:lineRule="exact"/>
        <w:rPr>
          <w:rFonts w:ascii="Arial" w:hAnsi="Arial" w:cs="Arial"/>
          <w:i/>
          <w:iCs/>
          <w:sz w:val="24"/>
          <w:szCs w:val="24"/>
        </w:rPr>
      </w:pPr>
      <w:r>
        <w:rPr>
          <w:rFonts w:ascii="Arial" w:hAnsi="Arial" w:cs="Arial"/>
          <w:b/>
          <w:bCs/>
          <w:i/>
          <w:iCs/>
          <w:sz w:val="24"/>
          <w:szCs w:val="24"/>
        </w:rPr>
        <w:t xml:space="preserve">Pg 49 (para 23) </w:t>
      </w:r>
      <w:r>
        <w:rPr>
          <w:rFonts w:ascii="Arial" w:hAnsi="Arial" w:cs="Arial"/>
          <w:i/>
          <w:iCs/>
          <w:sz w:val="24"/>
          <w:szCs w:val="24"/>
        </w:rPr>
        <w:t>– replaced “his/her” with “their”</w:t>
      </w:r>
    </w:p>
    <w:p w14:paraId="1C3396D9" w14:textId="77777777" w:rsidR="00D928BA" w:rsidRDefault="00674BFB" w:rsidP="00D928BA">
      <w:pPr>
        <w:autoSpaceDE w:val="0"/>
        <w:autoSpaceDN w:val="0"/>
        <w:spacing w:line="320" w:lineRule="exact"/>
        <w:rPr>
          <w:rFonts w:ascii="Arial" w:hAnsi="Arial" w:cs="Arial"/>
          <w:b/>
          <w:bCs/>
          <w:i/>
          <w:iCs/>
          <w:sz w:val="24"/>
          <w:szCs w:val="24"/>
        </w:rPr>
      </w:pPr>
      <w:r>
        <w:rPr>
          <w:rFonts w:ascii="Arial" w:hAnsi="Arial" w:cs="Arial"/>
          <w:b/>
          <w:bCs/>
          <w:i/>
          <w:iCs/>
          <w:sz w:val="24"/>
          <w:szCs w:val="24"/>
        </w:rPr>
        <w:t xml:space="preserve">Pg 58 (para 1) </w:t>
      </w:r>
      <w:r>
        <w:rPr>
          <w:rFonts w:ascii="Arial" w:hAnsi="Arial" w:cs="Arial"/>
          <w:i/>
          <w:iCs/>
          <w:sz w:val="24"/>
          <w:szCs w:val="24"/>
        </w:rPr>
        <w:t xml:space="preserve">– replaced “his/her” with “their”; </w:t>
      </w:r>
      <w:r>
        <w:rPr>
          <w:rFonts w:ascii="Arial" w:hAnsi="Arial" w:cs="Arial"/>
          <w:b/>
          <w:bCs/>
          <w:i/>
          <w:iCs/>
          <w:sz w:val="24"/>
          <w:szCs w:val="24"/>
        </w:rPr>
        <w:t xml:space="preserve">(para 3) </w:t>
      </w:r>
      <w:r>
        <w:rPr>
          <w:rFonts w:ascii="Arial" w:hAnsi="Arial" w:cs="Arial"/>
          <w:i/>
          <w:iCs/>
          <w:sz w:val="24"/>
          <w:szCs w:val="24"/>
        </w:rPr>
        <w:t>replaced “his/her” with “their”</w:t>
      </w:r>
    </w:p>
    <w:p w14:paraId="3CEC37BE" w14:textId="36B01572" w:rsidR="00674BFB" w:rsidRPr="00D928BA" w:rsidRDefault="00674BFB" w:rsidP="00D928BA">
      <w:pPr>
        <w:autoSpaceDE w:val="0"/>
        <w:autoSpaceDN w:val="0"/>
        <w:spacing w:line="320" w:lineRule="exact"/>
        <w:rPr>
          <w:rFonts w:ascii="Arial" w:hAnsi="Arial" w:cs="Arial"/>
          <w:b/>
          <w:bCs/>
          <w:i/>
          <w:iCs/>
          <w:sz w:val="24"/>
          <w:szCs w:val="24"/>
        </w:rPr>
      </w:pPr>
      <w:r>
        <w:rPr>
          <w:rFonts w:ascii="Arial" w:hAnsi="Arial" w:cs="Arial"/>
          <w:i/>
          <w:iCs/>
          <w:sz w:val="24"/>
          <w:szCs w:val="24"/>
        </w:rPr>
        <w:t xml:space="preserve">Other changes included paragraph formatting and moving the contents of the TOR onto the new template. </w:t>
      </w:r>
    </w:p>
    <w:p w14:paraId="49689CE7" w14:textId="47A5B27F" w:rsidR="00E73160" w:rsidRPr="00771502" w:rsidRDefault="002869EB" w:rsidP="000A53B0">
      <w:pPr>
        <w:autoSpaceDE w:val="0"/>
        <w:autoSpaceDN w:val="0"/>
        <w:spacing w:line="320" w:lineRule="exact"/>
        <w:rPr>
          <w:rStyle w:val="Emphasis"/>
          <w:i w:val="0"/>
          <w:iCs w:val="0"/>
        </w:rPr>
      </w:pPr>
      <w:r>
        <w:t xml:space="preserve"> </w:t>
      </w:r>
    </w:p>
    <w:sectPr w:rsidR="00E73160" w:rsidRPr="00771502" w:rsidSect="00075296">
      <w:headerReference w:type="default" r:id="rId14"/>
      <w:footerReference w:type="default" r:id="rId15"/>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45CD" w14:textId="77777777" w:rsidR="0053405B" w:rsidRDefault="0053405B" w:rsidP="000C5581">
      <w:pPr>
        <w:spacing w:after="0" w:line="240" w:lineRule="auto"/>
      </w:pPr>
      <w:r>
        <w:separator/>
      </w:r>
    </w:p>
  </w:endnote>
  <w:endnote w:type="continuationSeparator" w:id="0">
    <w:p w14:paraId="43215FBF" w14:textId="77777777" w:rsidR="0053405B" w:rsidRDefault="0053405B" w:rsidP="000C5581">
      <w:pPr>
        <w:spacing w:after="0" w:line="240" w:lineRule="auto"/>
      </w:pPr>
      <w:r>
        <w:continuationSeparator/>
      </w:r>
    </w:p>
  </w:endnote>
  <w:endnote w:type="continuationNotice" w:id="1">
    <w:p w14:paraId="5C7B5755" w14:textId="77777777" w:rsidR="0053405B" w:rsidRDefault="005340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778165792"/>
      <w:docPartObj>
        <w:docPartGallery w:val="Page Numbers (Bottom of Page)"/>
        <w:docPartUnique/>
      </w:docPartObj>
    </w:sdtPr>
    <w:sdtEndPr>
      <w:rPr>
        <w:noProof/>
      </w:rPr>
    </w:sdtEndPr>
    <w:sdtContent>
      <w:p w14:paraId="44EAC5C0" w14:textId="77777777" w:rsidR="00075296" w:rsidRPr="00800334" w:rsidRDefault="00075296" w:rsidP="00075296">
        <w:pPr>
          <w:pStyle w:val="BodytextHTA"/>
          <w:rPr>
            <w:sz w:val="18"/>
            <w:szCs w:val="18"/>
          </w:rPr>
        </w:pPr>
      </w:p>
      <w:p w14:paraId="49964B0D" w14:textId="5BB8358A" w:rsidR="00075296" w:rsidRPr="00800334" w:rsidRDefault="00075296" w:rsidP="00075296">
        <w:pPr>
          <w:pStyle w:val="BodytextHTA"/>
          <w:rPr>
            <w:sz w:val="18"/>
            <w:szCs w:val="18"/>
          </w:rPr>
        </w:pPr>
        <w:r w:rsidRPr="00800334">
          <w:rPr>
            <w:sz w:val="18"/>
            <w:szCs w:val="18"/>
          </w:rPr>
          <w:t xml:space="preserve">HTA meeting papers are not policy documents. </w:t>
        </w:r>
        <w:r w:rsidRPr="00800334">
          <w:rPr>
            <w:sz w:val="18"/>
            <w:szCs w:val="18"/>
          </w:rPr>
          <w:br/>
          <w:t>Draft policies may be subject to revision following the HTA Board meeting</w:t>
        </w:r>
      </w:p>
      <w:p w14:paraId="3807FAA9" w14:textId="473BF3AC" w:rsidR="001F300A" w:rsidRDefault="00D928BA"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46A6" w14:textId="77777777" w:rsidR="0053405B" w:rsidRDefault="0053405B" w:rsidP="000C5581">
      <w:pPr>
        <w:spacing w:after="0" w:line="240" w:lineRule="auto"/>
      </w:pPr>
      <w:r>
        <w:separator/>
      </w:r>
    </w:p>
  </w:footnote>
  <w:footnote w:type="continuationSeparator" w:id="0">
    <w:p w14:paraId="66E6B671" w14:textId="77777777" w:rsidR="0053405B" w:rsidRDefault="0053405B" w:rsidP="000C5581">
      <w:pPr>
        <w:spacing w:after="0" w:line="240" w:lineRule="auto"/>
      </w:pPr>
      <w:r>
        <w:continuationSeparator/>
      </w:r>
    </w:p>
  </w:footnote>
  <w:footnote w:type="continuationNotice" w:id="1">
    <w:p w14:paraId="4C66F127" w14:textId="77777777" w:rsidR="0053405B" w:rsidRDefault="005340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4FE280DA" w:rsidR="008C7CA1" w:rsidRDefault="008C7CA1">
    <w:pPr>
      <w:pStyle w:val="Header"/>
    </w:pPr>
    <w:r>
      <w:rPr>
        <w:noProof/>
      </w:rPr>
      <w:drawing>
        <wp:anchor distT="0" distB="0" distL="114300" distR="114300" simplePos="0" relativeHeight="251658240"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48B"/>
    <w:multiLevelType w:val="multilevel"/>
    <w:tmpl w:val="1090B3BC"/>
    <w:lvl w:ilvl="0">
      <w:start w:val="1"/>
      <w:numFmt w:val="decimal"/>
      <w:lvlText w:val="%1."/>
      <w:lvlJc w:val="left"/>
      <w:pPr>
        <w:ind w:left="720" w:hanging="360"/>
      </w:pPr>
    </w:lvl>
    <w:lvl w:ilvl="1">
      <w:start w:val="1"/>
      <w:numFmt w:val="lowerRoman"/>
      <w:lvlText w:val="%2)"/>
      <w:lvlJc w:val="left"/>
      <w:pPr>
        <w:ind w:left="1440" w:hanging="360"/>
      </w:pPr>
      <w:rPr>
        <w:rFonts w:ascii="Arial" w:eastAsia="Batang"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C5A6BCE"/>
    <w:multiLevelType w:val="multilevel"/>
    <w:tmpl w:val="03E0FF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C6BF3"/>
    <w:multiLevelType w:val="multilevel"/>
    <w:tmpl w:val="1090B3BC"/>
    <w:styleLink w:val="LFO2"/>
    <w:lvl w:ilvl="0">
      <w:start w:val="1"/>
      <w:numFmt w:val="decimal"/>
      <w:lvlText w:val="%1."/>
      <w:lvlJc w:val="left"/>
      <w:pPr>
        <w:ind w:left="720" w:hanging="360"/>
      </w:pPr>
    </w:lvl>
    <w:lvl w:ilvl="1">
      <w:start w:val="1"/>
      <w:numFmt w:val="lowerRoman"/>
      <w:lvlText w:val="%2)"/>
      <w:lvlJc w:val="left"/>
      <w:pPr>
        <w:ind w:left="1440" w:hanging="360"/>
      </w:pPr>
      <w:rPr>
        <w:rFonts w:ascii="Arial" w:eastAsia="Batang"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8072687"/>
    <w:multiLevelType w:val="hybridMultilevel"/>
    <w:tmpl w:val="0F347CAE"/>
    <w:lvl w:ilvl="0" w:tplc="81809CA8">
      <w:start w:val="1"/>
      <w:numFmt w:val="lowerLetter"/>
      <w:lvlText w:val="%1)"/>
      <w:lvlJc w:val="left"/>
      <w:pPr>
        <w:ind w:left="1080" w:hanging="360"/>
      </w:pPr>
      <w:rPr>
        <w:rFonts w:ascii="Arial" w:eastAsia="Batang" w:hAnsi="Arial" w:cs="Arial"/>
        <w:color w:val="881798"/>
        <w:sz w:val="24"/>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D54533"/>
    <w:multiLevelType w:val="multilevel"/>
    <w:tmpl w:val="D7B243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63EF1CCA"/>
    <w:multiLevelType w:val="hybridMultilevel"/>
    <w:tmpl w:val="2D2EBC3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6676160C"/>
    <w:multiLevelType w:val="hybridMultilevel"/>
    <w:tmpl w:val="05B6579A"/>
    <w:lvl w:ilvl="0" w:tplc="D6FAD17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F2402E"/>
    <w:multiLevelType w:val="multilevel"/>
    <w:tmpl w:val="B00896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569188">
    <w:abstractNumId w:val="10"/>
  </w:num>
  <w:num w:numId="2" w16cid:durableId="7410639">
    <w:abstractNumId w:val="9"/>
  </w:num>
  <w:num w:numId="3" w16cid:durableId="481771268">
    <w:abstractNumId w:val="1"/>
  </w:num>
  <w:num w:numId="4" w16cid:durableId="185215901">
    <w:abstractNumId w:val="3"/>
  </w:num>
  <w:num w:numId="5" w16cid:durableId="772747842">
    <w:abstractNumId w:val="3"/>
  </w:num>
  <w:num w:numId="6" w16cid:durableId="1718822188">
    <w:abstractNumId w:val="5"/>
  </w:num>
  <w:num w:numId="7" w16cid:durableId="1289511388">
    <w:abstractNumId w:val="0"/>
  </w:num>
  <w:num w:numId="8" w16cid:durableId="236862470">
    <w:abstractNumId w:val="8"/>
  </w:num>
  <w:num w:numId="9" w16cid:durableId="2023162700">
    <w:abstractNumId w:val="2"/>
  </w:num>
  <w:num w:numId="10" w16cid:durableId="802698292">
    <w:abstractNumId w:val="4"/>
  </w:num>
  <w:num w:numId="11" w16cid:durableId="1871650580">
    <w:abstractNumId w:val="6"/>
  </w:num>
  <w:num w:numId="12" w16cid:durableId="44211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7547"/>
    <w:rsid w:val="00043320"/>
    <w:rsid w:val="00053C36"/>
    <w:rsid w:val="000579D0"/>
    <w:rsid w:val="000600C0"/>
    <w:rsid w:val="00075296"/>
    <w:rsid w:val="000977D9"/>
    <w:rsid w:val="000A1B71"/>
    <w:rsid w:val="000A53B0"/>
    <w:rsid w:val="000B1D0C"/>
    <w:rsid w:val="000C2AB2"/>
    <w:rsid w:val="000C5581"/>
    <w:rsid w:val="000C5C5D"/>
    <w:rsid w:val="000E7855"/>
    <w:rsid w:val="00105CB8"/>
    <w:rsid w:val="00114022"/>
    <w:rsid w:val="00115667"/>
    <w:rsid w:val="00124302"/>
    <w:rsid w:val="00126079"/>
    <w:rsid w:val="00133ED3"/>
    <w:rsid w:val="00134A85"/>
    <w:rsid w:val="00140F0D"/>
    <w:rsid w:val="00147429"/>
    <w:rsid w:val="00186524"/>
    <w:rsid w:val="001B3323"/>
    <w:rsid w:val="001B7D68"/>
    <w:rsid w:val="001C5844"/>
    <w:rsid w:val="001D262A"/>
    <w:rsid w:val="001D587B"/>
    <w:rsid w:val="001E001B"/>
    <w:rsid w:val="001E0C12"/>
    <w:rsid w:val="001E1BD7"/>
    <w:rsid w:val="001F300A"/>
    <w:rsid w:val="00206F47"/>
    <w:rsid w:val="00210DFB"/>
    <w:rsid w:val="00230415"/>
    <w:rsid w:val="00230975"/>
    <w:rsid w:val="00237AD2"/>
    <w:rsid w:val="002437A2"/>
    <w:rsid w:val="002822FD"/>
    <w:rsid w:val="00283E90"/>
    <w:rsid w:val="002869EB"/>
    <w:rsid w:val="002921DD"/>
    <w:rsid w:val="00293116"/>
    <w:rsid w:val="002935FB"/>
    <w:rsid w:val="002971B1"/>
    <w:rsid w:val="002C7437"/>
    <w:rsid w:val="002C761B"/>
    <w:rsid w:val="002D1E36"/>
    <w:rsid w:val="00322807"/>
    <w:rsid w:val="003231A5"/>
    <w:rsid w:val="003344B2"/>
    <w:rsid w:val="00345D9F"/>
    <w:rsid w:val="003505C1"/>
    <w:rsid w:val="00351EFC"/>
    <w:rsid w:val="00370A52"/>
    <w:rsid w:val="0037728A"/>
    <w:rsid w:val="00377803"/>
    <w:rsid w:val="003806D6"/>
    <w:rsid w:val="00397C38"/>
    <w:rsid w:val="003A06A8"/>
    <w:rsid w:val="003A56B7"/>
    <w:rsid w:val="003B3282"/>
    <w:rsid w:val="003C3670"/>
    <w:rsid w:val="003C7DC6"/>
    <w:rsid w:val="003D558A"/>
    <w:rsid w:val="003D5BEA"/>
    <w:rsid w:val="003E32B0"/>
    <w:rsid w:val="003E6347"/>
    <w:rsid w:val="003F780F"/>
    <w:rsid w:val="00401BCB"/>
    <w:rsid w:val="00412561"/>
    <w:rsid w:val="00423C4C"/>
    <w:rsid w:val="00430870"/>
    <w:rsid w:val="00431774"/>
    <w:rsid w:val="00437904"/>
    <w:rsid w:val="004409D4"/>
    <w:rsid w:val="00442FB0"/>
    <w:rsid w:val="00455F7D"/>
    <w:rsid w:val="00460825"/>
    <w:rsid w:val="00481BC9"/>
    <w:rsid w:val="004C450A"/>
    <w:rsid w:val="004C63A7"/>
    <w:rsid w:val="004F3DA7"/>
    <w:rsid w:val="00504658"/>
    <w:rsid w:val="0051192D"/>
    <w:rsid w:val="0053405B"/>
    <w:rsid w:val="00554C1A"/>
    <w:rsid w:val="00554EA3"/>
    <w:rsid w:val="00562F34"/>
    <w:rsid w:val="00585F9A"/>
    <w:rsid w:val="0059413F"/>
    <w:rsid w:val="005A0F37"/>
    <w:rsid w:val="005A6CB4"/>
    <w:rsid w:val="005C48C1"/>
    <w:rsid w:val="005D07D8"/>
    <w:rsid w:val="005D3D1A"/>
    <w:rsid w:val="005E0826"/>
    <w:rsid w:val="005E3E52"/>
    <w:rsid w:val="00603F76"/>
    <w:rsid w:val="006073D3"/>
    <w:rsid w:val="0062045B"/>
    <w:rsid w:val="006363DD"/>
    <w:rsid w:val="006714C9"/>
    <w:rsid w:val="00672906"/>
    <w:rsid w:val="00674BFB"/>
    <w:rsid w:val="00694AF3"/>
    <w:rsid w:val="006B3732"/>
    <w:rsid w:val="006B7E87"/>
    <w:rsid w:val="006C50DB"/>
    <w:rsid w:val="006D08C4"/>
    <w:rsid w:val="006E1861"/>
    <w:rsid w:val="006E27C5"/>
    <w:rsid w:val="006E4269"/>
    <w:rsid w:val="006F1386"/>
    <w:rsid w:val="006F2573"/>
    <w:rsid w:val="006F567E"/>
    <w:rsid w:val="00700986"/>
    <w:rsid w:val="00713A31"/>
    <w:rsid w:val="00720813"/>
    <w:rsid w:val="007344FB"/>
    <w:rsid w:val="00747E95"/>
    <w:rsid w:val="00771502"/>
    <w:rsid w:val="00777282"/>
    <w:rsid w:val="007822FC"/>
    <w:rsid w:val="007A327D"/>
    <w:rsid w:val="007B1F87"/>
    <w:rsid w:val="007B3A2C"/>
    <w:rsid w:val="007B4FB2"/>
    <w:rsid w:val="007D05C0"/>
    <w:rsid w:val="00800334"/>
    <w:rsid w:val="00814C86"/>
    <w:rsid w:val="00846E25"/>
    <w:rsid w:val="00861968"/>
    <w:rsid w:val="008671EE"/>
    <w:rsid w:val="00893017"/>
    <w:rsid w:val="00893324"/>
    <w:rsid w:val="008A3CEF"/>
    <w:rsid w:val="008C6A18"/>
    <w:rsid w:val="008C6A26"/>
    <w:rsid w:val="008C74ED"/>
    <w:rsid w:val="008C7CA1"/>
    <w:rsid w:val="008D7169"/>
    <w:rsid w:val="008F2E3C"/>
    <w:rsid w:val="008F567F"/>
    <w:rsid w:val="00906E43"/>
    <w:rsid w:val="00932B8F"/>
    <w:rsid w:val="00950255"/>
    <w:rsid w:val="0097076F"/>
    <w:rsid w:val="009733F1"/>
    <w:rsid w:val="00973BA6"/>
    <w:rsid w:val="009936E3"/>
    <w:rsid w:val="00996EDF"/>
    <w:rsid w:val="009B0C56"/>
    <w:rsid w:val="009C4A28"/>
    <w:rsid w:val="009D6BC8"/>
    <w:rsid w:val="009F2931"/>
    <w:rsid w:val="00A07279"/>
    <w:rsid w:val="00A07362"/>
    <w:rsid w:val="00A07850"/>
    <w:rsid w:val="00A465E1"/>
    <w:rsid w:val="00A472B4"/>
    <w:rsid w:val="00A67C31"/>
    <w:rsid w:val="00A7111B"/>
    <w:rsid w:val="00A81CA1"/>
    <w:rsid w:val="00A861F9"/>
    <w:rsid w:val="00A90961"/>
    <w:rsid w:val="00AB09C3"/>
    <w:rsid w:val="00AD021F"/>
    <w:rsid w:val="00AD4940"/>
    <w:rsid w:val="00AD5D92"/>
    <w:rsid w:val="00AE18EC"/>
    <w:rsid w:val="00AE475D"/>
    <w:rsid w:val="00AF5281"/>
    <w:rsid w:val="00B17C34"/>
    <w:rsid w:val="00B2527A"/>
    <w:rsid w:val="00B25C62"/>
    <w:rsid w:val="00B556A9"/>
    <w:rsid w:val="00B56397"/>
    <w:rsid w:val="00B73CB1"/>
    <w:rsid w:val="00B97A75"/>
    <w:rsid w:val="00BB0D3B"/>
    <w:rsid w:val="00BB19D4"/>
    <w:rsid w:val="00BD07B6"/>
    <w:rsid w:val="00BD4373"/>
    <w:rsid w:val="00BF2FD5"/>
    <w:rsid w:val="00BF6067"/>
    <w:rsid w:val="00C065B4"/>
    <w:rsid w:val="00C17C1B"/>
    <w:rsid w:val="00C25CDD"/>
    <w:rsid w:val="00C26894"/>
    <w:rsid w:val="00C329C3"/>
    <w:rsid w:val="00C472B4"/>
    <w:rsid w:val="00C57FC3"/>
    <w:rsid w:val="00C605CE"/>
    <w:rsid w:val="00C61E0D"/>
    <w:rsid w:val="00C63161"/>
    <w:rsid w:val="00C778A6"/>
    <w:rsid w:val="00C77EB2"/>
    <w:rsid w:val="00C8161B"/>
    <w:rsid w:val="00C92CBF"/>
    <w:rsid w:val="00CA76B6"/>
    <w:rsid w:val="00CB145F"/>
    <w:rsid w:val="00CB3675"/>
    <w:rsid w:val="00CC7E80"/>
    <w:rsid w:val="00CD39E0"/>
    <w:rsid w:val="00D01DEE"/>
    <w:rsid w:val="00D04F82"/>
    <w:rsid w:val="00D127CB"/>
    <w:rsid w:val="00D616A6"/>
    <w:rsid w:val="00D64A1A"/>
    <w:rsid w:val="00D7266F"/>
    <w:rsid w:val="00D72806"/>
    <w:rsid w:val="00D72A76"/>
    <w:rsid w:val="00D91A69"/>
    <w:rsid w:val="00D928BA"/>
    <w:rsid w:val="00D94D1C"/>
    <w:rsid w:val="00DA0167"/>
    <w:rsid w:val="00DA633E"/>
    <w:rsid w:val="00DB1EA9"/>
    <w:rsid w:val="00DB3CA5"/>
    <w:rsid w:val="00DB609D"/>
    <w:rsid w:val="00DE3233"/>
    <w:rsid w:val="00DF17F8"/>
    <w:rsid w:val="00E051A2"/>
    <w:rsid w:val="00E13E93"/>
    <w:rsid w:val="00E23550"/>
    <w:rsid w:val="00E25F03"/>
    <w:rsid w:val="00E2723D"/>
    <w:rsid w:val="00E3278E"/>
    <w:rsid w:val="00E42AC0"/>
    <w:rsid w:val="00E51378"/>
    <w:rsid w:val="00E73160"/>
    <w:rsid w:val="00E819ED"/>
    <w:rsid w:val="00E81F9A"/>
    <w:rsid w:val="00E83DE3"/>
    <w:rsid w:val="00E91990"/>
    <w:rsid w:val="00E9446A"/>
    <w:rsid w:val="00EB2782"/>
    <w:rsid w:val="00EB5150"/>
    <w:rsid w:val="00EE393A"/>
    <w:rsid w:val="00EF6EC0"/>
    <w:rsid w:val="00F04906"/>
    <w:rsid w:val="00F106E4"/>
    <w:rsid w:val="00F3778A"/>
    <w:rsid w:val="00F37EDE"/>
    <w:rsid w:val="00F37F39"/>
    <w:rsid w:val="00F571C2"/>
    <w:rsid w:val="00F61A1C"/>
    <w:rsid w:val="00F6500A"/>
    <w:rsid w:val="00F67F0C"/>
    <w:rsid w:val="00F7654F"/>
    <w:rsid w:val="00F77E19"/>
    <w:rsid w:val="00F94646"/>
    <w:rsid w:val="00FA3640"/>
    <w:rsid w:val="00FC00CD"/>
    <w:rsid w:val="00FC431A"/>
    <w:rsid w:val="00FC5410"/>
    <w:rsid w:val="00FC76E1"/>
    <w:rsid w:val="00FE0878"/>
    <w:rsid w:val="00FE649A"/>
    <w:rsid w:val="00FF5B40"/>
    <w:rsid w:val="0111A6FB"/>
    <w:rsid w:val="02DC0EB8"/>
    <w:rsid w:val="04932FB2"/>
    <w:rsid w:val="08A760E9"/>
    <w:rsid w:val="1FB13439"/>
    <w:rsid w:val="3C972A62"/>
    <w:rsid w:val="4A3C82FB"/>
    <w:rsid w:val="5AB3BB07"/>
    <w:rsid w:val="5AF78D05"/>
    <w:rsid w:val="5DF38524"/>
    <w:rsid w:val="60397FE4"/>
    <w:rsid w:val="6FF2E623"/>
    <w:rsid w:val="78C541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C541F0"/>
  <w15:chartTrackingRefBased/>
  <w15:docId w15:val="{41CF5DDE-05B9-413D-AB7F-181AADB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14" w:hanging="357"/>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ListParagraph">
    <w:name w:val="List Paragraph"/>
    <w:basedOn w:val="Normal"/>
    <w:uiPriority w:val="34"/>
    <w:qFormat/>
    <w:rsid w:val="00932B8F"/>
    <w:pPr>
      <w:suppressAutoHyphens/>
      <w:autoSpaceDN w:val="0"/>
      <w:spacing w:before="0" w:after="0" w:line="240" w:lineRule="auto"/>
      <w:ind w:left="720"/>
    </w:pPr>
    <w:rPr>
      <w:rFonts w:ascii="Arial" w:eastAsia="Arial" w:hAnsi="Arial" w:cs="Arial"/>
    </w:rPr>
  </w:style>
  <w:style w:type="numbering" w:customStyle="1" w:styleId="LFO2">
    <w:name w:val="LFO2"/>
    <w:basedOn w:val="NoList"/>
    <w:rsid w:val="00932B8F"/>
    <w:pPr>
      <w:numPr>
        <w:numId w:val="4"/>
      </w:numPr>
    </w:pPr>
  </w:style>
  <w:style w:type="character" w:styleId="CommentReference">
    <w:name w:val="annotation reference"/>
    <w:basedOn w:val="DefaultParagraphFont"/>
    <w:uiPriority w:val="99"/>
    <w:semiHidden/>
    <w:unhideWhenUsed/>
    <w:rsid w:val="00140F0D"/>
    <w:rPr>
      <w:sz w:val="16"/>
      <w:szCs w:val="16"/>
    </w:rPr>
  </w:style>
  <w:style w:type="paragraph" w:styleId="CommentText">
    <w:name w:val="annotation text"/>
    <w:basedOn w:val="Normal"/>
    <w:link w:val="CommentTextChar"/>
    <w:uiPriority w:val="99"/>
    <w:unhideWhenUsed/>
    <w:rsid w:val="00140F0D"/>
    <w:pPr>
      <w:spacing w:line="240" w:lineRule="auto"/>
    </w:pPr>
    <w:rPr>
      <w:sz w:val="20"/>
      <w:szCs w:val="20"/>
    </w:rPr>
  </w:style>
  <w:style w:type="character" w:customStyle="1" w:styleId="CommentTextChar">
    <w:name w:val="Comment Text Char"/>
    <w:basedOn w:val="DefaultParagraphFont"/>
    <w:link w:val="CommentText"/>
    <w:uiPriority w:val="99"/>
    <w:rsid w:val="00140F0D"/>
    <w:rPr>
      <w:sz w:val="20"/>
      <w:szCs w:val="20"/>
    </w:rPr>
  </w:style>
  <w:style w:type="paragraph" w:styleId="CommentSubject">
    <w:name w:val="annotation subject"/>
    <w:basedOn w:val="CommentText"/>
    <w:next w:val="CommentText"/>
    <w:link w:val="CommentSubjectChar"/>
    <w:uiPriority w:val="99"/>
    <w:semiHidden/>
    <w:unhideWhenUsed/>
    <w:rsid w:val="00140F0D"/>
    <w:rPr>
      <w:b/>
      <w:bCs/>
    </w:rPr>
  </w:style>
  <w:style w:type="character" w:customStyle="1" w:styleId="CommentSubjectChar">
    <w:name w:val="Comment Subject Char"/>
    <w:basedOn w:val="CommentTextChar"/>
    <w:link w:val="CommentSubject"/>
    <w:uiPriority w:val="99"/>
    <w:semiHidden/>
    <w:rsid w:val="00140F0D"/>
    <w:rPr>
      <w:b/>
      <w:bCs/>
      <w:sz w:val="20"/>
      <w:szCs w:val="20"/>
    </w:rPr>
  </w:style>
  <w:style w:type="paragraph" w:customStyle="1" w:styleId="paragraph">
    <w:name w:val="paragraph"/>
    <w:basedOn w:val="Normal"/>
    <w:rsid w:val="004C4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450A"/>
  </w:style>
  <w:style w:type="character" w:customStyle="1" w:styleId="eop">
    <w:name w:val="eop"/>
    <w:basedOn w:val="DefaultParagraphFont"/>
    <w:rsid w:val="004C450A"/>
  </w:style>
  <w:style w:type="character" w:customStyle="1" w:styleId="findhit">
    <w:name w:val="findhit"/>
    <w:basedOn w:val="DefaultParagraphFont"/>
    <w:rsid w:val="004C450A"/>
  </w:style>
  <w:style w:type="paragraph" w:styleId="Revision">
    <w:name w:val="Revision"/>
    <w:hidden/>
    <w:uiPriority w:val="99"/>
    <w:semiHidden/>
    <w:rsid w:val="002C761B"/>
    <w:pPr>
      <w:spacing w:before="0" w:after="0" w:line="240" w:lineRule="auto"/>
    </w:pPr>
  </w:style>
  <w:style w:type="character" w:styleId="Hyperlink">
    <w:name w:val="Hyperlink"/>
    <w:basedOn w:val="DefaultParagraphFont"/>
    <w:uiPriority w:val="99"/>
    <w:semiHidden/>
    <w:unhideWhenUsed/>
    <w:rsid w:val="00674B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0025">
      <w:bodyDiv w:val="1"/>
      <w:marLeft w:val="0"/>
      <w:marRight w:val="0"/>
      <w:marTop w:val="0"/>
      <w:marBottom w:val="0"/>
      <w:divBdr>
        <w:top w:val="none" w:sz="0" w:space="0" w:color="auto"/>
        <w:left w:val="none" w:sz="0" w:space="0" w:color="auto"/>
        <w:bottom w:val="none" w:sz="0" w:space="0" w:color="auto"/>
        <w:right w:val="none" w:sz="0" w:space="0" w:color="auto"/>
      </w:divBdr>
      <w:divsChild>
        <w:div w:id="303968404">
          <w:marLeft w:val="0"/>
          <w:marRight w:val="0"/>
          <w:marTop w:val="0"/>
          <w:marBottom w:val="0"/>
          <w:divBdr>
            <w:top w:val="none" w:sz="0" w:space="0" w:color="auto"/>
            <w:left w:val="none" w:sz="0" w:space="0" w:color="auto"/>
            <w:bottom w:val="none" w:sz="0" w:space="0" w:color="auto"/>
            <w:right w:val="none" w:sz="0" w:space="0" w:color="auto"/>
          </w:divBdr>
        </w:div>
        <w:div w:id="465663344">
          <w:marLeft w:val="0"/>
          <w:marRight w:val="0"/>
          <w:marTop w:val="0"/>
          <w:marBottom w:val="0"/>
          <w:divBdr>
            <w:top w:val="none" w:sz="0" w:space="0" w:color="auto"/>
            <w:left w:val="none" w:sz="0" w:space="0" w:color="auto"/>
            <w:bottom w:val="none" w:sz="0" w:space="0" w:color="auto"/>
            <w:right w:val="none" w:sz="0" w:space="0" w:color="auto"/>
          </w:divBdr>
        </w:div>
        <w:div w:id="942348642">
          <w:marLeft w:val="0"/>
          <w:marRight w:val="0"/>
          <w:marTop w:val="0"/>
          <w:marBottom w:val="0"/>
          <w:divBdr>
            <w:top w:val="none" w:sz="0" w:space="0" w:color="auto"/>
            <w:left w:val="none" w:sz="0" w:space="0" w:color="auto"/>
            <w:bottom w:val="none" w:sz="0" w:space="0" w:color="auto"/>
            <w:right w:val="none" w:sz="0" w:space="0" w:color="auto"/>
          </w:divBdr>
        </w:div>
        <w:div w:id="1448116079">
          <w:marLeft w:val="0"/>
          <w:marRight w:val="0"/>
          <w:marTop w:val="0"/>
          <w:marBottom w:val="0"/>
          <w:divBdr>
            <w:top w:val="none" w:sz="0" w:space="0" w:color="auto"/>
            <w:left w:val="none" w:sz="0" w:space="0" w:color="auto"/>
            <w:bottom w:val="none" w:sz="0" w:space="0" w:color="auto"/>
            <w:right w:val="none" w:sz="0" w:space="0" w:color="auto"/>
          </w:divBdr>
        </w:div>
        <w:div w:id="1847599454">
          <w:marLeft w:val="0"/>
          <w:marRight w:val="0"/>
          <w:marTop w:val="0"/>
          <w:marBottom w:val="0"/>
          <w:divBdr>
            <w:top w:val="none" w:sz="0" w:space="0" w:color="auto"/>
            <w:left w:val="none" w:sz="0" w:space="0" w:color="auto"/>
            <w:bottom w:val="none" w:sz="0" w:space="0" w:color="auto"/>
            <w:right w:val="none" w:sz="0" w:space="0" w:color="auto"/>
          </w:divBdr>
        </w:div>
      </w:divsChild>
    </w:div>
    <w:div w:id="398403152">
      <w:bodyDiv w:val="1"/>
      <w:marLeft w:val="0"/>
      <w:marRight w:val="0"/>
      <w:marTop w:val="0"/>
      <w:marBottom w:val="0"/>
      <w:divBdr>
        <w:top w:val="none" w:sz="0" w:space="0" w:color="auto"/>
        <w:left w:val="none" w:sz="0" w:space="0" w:color="auto"/>
        <w:bottom w:val="none" w:sz="0" w:space="0" w:color="auto"/>
        <w:right w:val="none" w:sz="0" w:space="0" w:color="auto"/>
      </w:divBdr>
    </w:div>
    <w:div w:id="11807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7-principles-of-public-life/the-7-principles-of-public-life--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1107400/Public_Bodies_-_a_guide_for_departments_-_chapter_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AD75TJCKWPSD-572021580-13735</_dlc_DocId>
    <_dlc_DocIdUrl xmlns="da565c07-dda8-49d0-af77-97162e211c3a">
      <Url>https://htagovuk.sharepoint.com/sites/edrms/org/_layouts/15/DocIdRedir.aspx?ID=AD75TJCKWPSD-572021580-13735</Url>
      <Description>AD75TJCKWPSD-572021580-13735</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uthority Paper" ma:contentTypeID="0x01010070FA452D68FE2C4C857151ED38B1EED932006C5ABE7BDC329847B730A6CF16E1B857" ma:contentTypeVersion="33" ma:contentTypeDescription="Create a new document." ma:contentTypeScope="" ma:versionID="9e7ec31bc91697a71c4ea0f8a60d644d">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2.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3.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4.xml><?xml version="1.0" encoding="utf-8"?>
<ds:datastoreItem xmlns:ds="http://schemas.openxmlformats.org/officeDocument/2006/customXml" ds:itemID="{1F7CDAE7-0062-472C-9660-92422508A5E0}">
  <ds:schemaRefs>
    <ds:schemaRef ds:uri="http://purl.org/dc/terms/"/>
    <ds:schemaRef ds:uri="http://schemas.microsoft.com/office/2006/documentManagement/types"/>
    <ds:schemaRef ds:uri="http://purl.org/dc/elements/1.1/"/>
    <ds:schemaRef ds:uri="da565c07-dda8-49d0-af77-97162e211c3a"/>
    <ds:schemaRef ds:uri="http://schemas.openxmlformats.org/package/2006/metadata/core-properties"/>
    <ds:schemaRef ds:uri="http://purl.org/dc/dcmitype/"/>
    <ds:schemaRef ds:uri="http://www.w3.org/XML/1998/namespace"/>
    <ds:schemaRef ds:uri="http://schemas.microsoft.com/office/infopath/2007/PartnerControls"/>
    <ds:schemaRef ds:uri="27cc7a59-7d4d-438a-960d-763c404d23bf"/>
    <ds:schemaRef ds:uri="http://schemas.microsoft.com/office/2006/metadata/properties"/>
  </ds:schemaRefs>
</ds:datastoreItem>
</file>

<file path=customXml/itemProps5.xml><?xml version="1.0" encoding="utf-8"?>
<ds:datastoreItem xmlns:ds="http://schemas.openxmlformats.org/officeDocument/2006/customXml" ds:itemID="{D81C2BD4-A4F3-4DEE-9C5C-FB454704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Smith</dc:creator>
  <cp:keywords/>
  <dc:description/>
  <cp:lastModifiedBy>Heather Troy</cp:lastModifiedBy>
  <cp:revision>3</cp:revision>
  <dcterms:created xsi:type="dcterms:W3CDTF">2023-09-12T10:12:00Z</dcterms:created>
  <dcterms:modified xsi:type="dcterms:W3CDTF">2023-09-12T12:58:00Z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0x01010070FA452D68FE2C4C857151ED38B1EED932006C5ABE7BDC329847B730A6CF16E1B857</vt:lpwstr>
  </property>
  <property fmtid="{D5CDD505-2E9C-101B-9397-08002B2CF9AE}" pid="3" name="_dlc_DocIdItemGuid">
    <vt:lpwstr>5a50bd5e-0eb1-4ddd-925e-04096326e188</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