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FD2D3" w14:textId="77777777" w:rsidR="003E7E26" w:rsidRDefault="00E13E93" w:rsidP="003E7E26">
      <w:pPr>
        <w:pStyle w:val="BodytextHTA"/>
        <w:spacing w:after="0" w:line="240" w:lineRule="auto"/>
        <w:rPr>
          <w:b/>
          <w:bCs/>
          <w:color w:val="4E1965" w:themeColor="text2"/>
          <w:sz w:val="40"/>
          <w:szCs w:val="40"/>
        </w:rPr>
      </w:pPr>
      <w:r>
        <w:rPr>
          <w:b/>
          <w:bCs/>
          <w:color w:val="4E1965" w:themeColor="text2"/>
          <w:sz w:val="40"/>
          <w:szCs w:val="40"/>
        </w:rPr>
        <w:t xml:space="preserve">Human Tissue Authority </w:t>
      </w:r>
    </w:p>
    <w:p w14:paraId="05DDBCA9" w14:textId="3C091858" w:rsidR="00E13E93" w:rsidRPr="005F2A8B" w:rsidRDefault="00E13E93" w:rsidP="003E7E26">
      <w:pPr>
        <w:pStyle w:val="BodytextHTA"/>
        <w:spacing w:after="0" w:line="240" w:lineRule="auto"/>
      </w:pPr>
      <w:r>
        <w:rPr>
          <w:b/>
          <w:bCs/>
          <w:color w:val="4E1965" w:themeColor="text2"/>
          <w:sz w:val="40"/>
          <w:szCs w:val="40"/>
        </w:rPr>
        <w:t xml:space="preserve">Board </w:t>
      </w:r>
      <w:r w:rsidR="00E76FC1">
        <w:rPr>
          <w:b/>
          <w:bCs/>
          <w:color w:val="4E1965" w:themeColor="text2"/>
          <w:sz w:val="40"/>
          <w:szCs w:val="40"/>
        </w:rPr>
        <w:t xml:space="preserve">Meeting Conducted in Public </w:t>
      </w:r>
      <w:r w:rsidR="00F657C0">
        <w:pict w14:anchorId="1D505A62">
          <v:rect id="_x0000_i1025" style="width:445.1pt;height:1pt;mso-position-horizontal:absolute;mso-position-horizontal-relative:text;mso-position-vertical:absolute;mso-position-vertical-relative:text;mso-width-relative:page;mso-height-relative:page" o:hralign="center" o:hrstd="t" o:hrnoshade="t" o:hr="t" fillcolor="#4e1965 [3215]" stroked="f"/>
        </w:pict>
      </w:r>
    </w:p>
    <w:p w14:paraId="40C479A6" w14:textId="77777777" w:rsidR="00AC5C01" w:rsidRDefault="00AC5C01" w:rsidP="00AE7921">
      <w:pPr>
        <w:pStyle w:val="BodytextHTA"/>
        <w:spacing w:after="0" w:line="240" w:lineRule="auto"/>
        <w:rPr>
          <w:rStyle w:val="BodyboldHTAChar"/>
        </w:rPr>
      </w:pPr>
    </w:p>
    <w:p w14:paraId="269B4888" w14:textId="4A33D022" w:rsidR="00E13E93" w:rsidRPr="001E4F16" w:rsidRDefault="00E13E93" w:rsidP="00AE7921">
      <w:pPr>
        <w:pStyle w:val="BodytextHTA"/>
        <w:spacing w:after="0" w:line="240" w:lineRule="auto"/>
      </w:pPr>
      <w:r w:rsidRPr="00F90251">
        <w:rPr>
          <w:rStyle w:val="BodyboldHTAChar"/>
        </w:rPr>
        <w:t>Date:</w:t>
      </w:r>
      <w:r w:rsidRPr="001E4F16">
        <w:tab/>
      </w:r>
      <w:r w:rsidRPr="001E4F16">
        <w:tab/>
      </w:r>
      <w:r>
        <w:tab/>
      </w:r>
      <w:r w:rsidR="00517050">
        <w:t>29 June 2023</w:t>
      </w:r>
    </w:p>
    <w:p w14:paraId="48672775" w14:textId="77777777" w:rsidR="00AE7921" w:rsidRDefault="00AE7921" w:rsidP="00AE7921">
      <w:pPr>
        <w:pStyle w:val="BodytextHTA"/>
        <w:spacing w:after="0" w:line="240" w:lineRule="auto"/>
        <w:rPr>
          <w:rStyle w:val="BodyboldHTAChar"/>
        </w:rPr>
      </w:pPr>
    </w:p>
    <w:p w14:paraId="2E3A5888" w14:textId="21122355" w:rsidR="00E13E93" w:rsidRPr="007F38C5" w:rsidRDefault="00E13E93" w:rsidP="00AE7921">
      <w:pPr>
        <w:pStyle w:val="BodytextHTA"/>
        <w:spacing w:after="0" w:line="240" w:lineRule="auto"/>
      </w:pPr>
      <w:r w:rsidRPr="007F38C5">
        <w:rPr>
          <w:rStyle w:val="BodyboldHTAChar"/>
        </w:rPr>
        <w:t>Paper reference:</w:t>
      </w:r>
      <w:r w:rsidRPr="007F38C5">
        <w:tab/>
      </w:r>
      <w:r w:rsidR="00517050" w:rsidRPr="007F38C5">
        <w:t>HTA 15/23</w:t>
      </w:r>
    </w:p>
    <w:p w14:paraId="34E117D0" w14:textId="77777777" w:rsidR="00AE7921" w:rsidRDefault="00AE7921" w:rsidP="00AE7921">
      <w:pPr>
        <w:pStyle w:val="BodytextHTA"/>
        <w:spacing w:after="0" w:line="240" w:lineRule="auto"/>
        <w:rPr>
          <w:rStyle w:val="BodyboldHTAChar"/>
        </w:rPr>
      </w:pPr>
    </w:p>
    <w:p w14:paraId="0F632C0E" w14:textId="33BEAC34" w:rsidR="00E13E93" w:rsidRPr="007F38C5" w:rsidRDefault="00E13E93" w:rsidP="00AE7921">
      <w:pPr>
        <w:pStyle w:val="BodytextHTA"/>
        <w:spacing w:after="0" w:line="240" w:lineRule="auto"/>
      </w:pPr>
      <w:r w:rsidRPr="007F38C5">
        <w:rPr>
          <w:rStyle w:val="BodyboldHTAChar"/>
        </w:rPr>
        <w:t>Agenda item:</w:t>
      </w:r>
      <w:r w:rsidRPr="007F38C5">
        <w:tab/>
      </w:r>
      <w:r w:rsidR="00871491" w:rsidRPr="007F38C5">
        <w:t>9</w:t>
      </w:r>
    </w:p>
    <w:p w14:paraId="5F8B15B5" w14:textId="77777777" w:rsidR="00AE7921" w:rsidRDefault="00AE7921" w:rsidP="00AE7921">
      <w:pPr>
        <w:pStyle w:val="BodytextHTA"/>
        <w:spacing w:after="0" w:line="240" w:lineRule="auto"/>
        <w:rPr>
          <w:rStyle w:val="BodyboldHTAChar"/>
        </w:rPr>
      </w:pPr>
    </w:p>
    <w:p w14:paraId="6A9DD5F9" w14:textId="3A5B66FF" w:rsidR="00E13E93" w:rsidRDefault="00E13E93" w:rsidP="00AE7921">
      <w:pPr>
        <w:pStyle w:val="BodytextHTA"/>
        <w:spacing w:after="0" w:line="240" w:lineRule="auto"/>
      </w:pPr>
      <w:r w:rsidRPr="004B79F9">
        <w:rPr>
          <w:rStyle w:val="BodyboldHTAChar"/>
        </w:rPr>
        <w:t>Author:</w:t>
      </w:r>
      <w:r>
        <w:tab/>
      </w:r>
      <w:r>
        <w:tab/>
      </w:r>
      <w:r w:rsidR="00871491">
        <w:t>Gary Crowe</w:t>
      </w:r>
    </w:p>
    <w:p w14:paraId="3B554E89" w14:textId="77777777" w:rsidR="00AE7921" w:rsidRDefault="00AE7921" w:rsidP="00AE7921">
      <w:pPr>
        <w:pStyle w:val="BodytextHTA"/>
        <w:spacing w:after="0" w:line="240" w:lineRule="auto"/>
        <w:rPr>
          <w:rStyle w:val="BodyboldHTAChar"/>
        </w:rPr>
      </w:pPr>
    </w:p>
    <w:p w14:paraId="442696D6" w14:textId="47CDC041" w:rsidR="00E13E93" w:rsidRPr="005F2A8B" w:rsidRDefault="00E13E93" w:rsidP="00AE7921">
      <w:pPr>
        <w:pStyle w:val="BodytextHTA"/>
        <w:spacing w:after="0" w:line="240" w:lineRule="auto"/>
      </w:pPr>
      <w:r w:rsidRPr="00225711">
        <w:rPr>
          <w:rStyle w:val="BodyboldHTAChar"/>
        </w:rPr>
        <w:t>Protective marking:</w:t>
      </w:r>
      <w:r>
        <w:t xml:space="preserve"> OFFICIAL/CONFIDENTIAL</w:t>
      </w:r>
    </w:p>
    <w:p w14:paraId="1775605E" w14:textId="77777777" w:rsidR="00E13E93" w:rsidRPr="005F2A8B" w:rsidRDefault="00F657C0" w:rsidP="00AE7921">
      <w:pPr>
        <w:pStyle w:val="BodytextHTA"/>
        <w:spacing w:after="0" w:line="240" w:lineRule="auto"/>
      </w:pPr>
      <w:r>
        <w:pict w14:anchorId="2EA833F3">
          <v:rect id="_x0000_i1026" style="width:445.1pt;height:1pt;mso-position-horizontal:absolute;mso-position-horizontal-relative:text;mso-position-vertical:absolute;mso-position-vertical-relative:text;mso-width-relative:page;mso-height-relative:page" o:hralign="center" o:hrstd="t" o:hrnoshade="t" o:hr="t" fillcolor="#4e1964" stroked="f"/>
        </w:pict>
      </w:r>
    </w:p>
    <w:p w14:paraId="73EB2541" w14:textId="77777777" w:rsidR="007F38C5" w:rsidRPr="00AD6EE7" w:rsidRDefault="007F38C5" w:rsidP="00AE7921">
      <w:pPr>
        <w:pStyle w:val="Subheading"/>
        <w:rPr>
          <w:sz w:val="40"/>
          <w:szCs w:val="40"/>
        </w:rPr>
      </w:pPr>
      <w:r>
        <w:br/>
      </w:r>
      <w:r w:rsidRPr="00AD6EE7">
        <w:rPr>
          <w:sz w:val="40"/>
          <w:szCs w:val="40"/>
        </w:rPr>
        <w:t>Audit and Risk Assurance Committee update</w:t>
      </w:r>
    </w:p>
    <w:p w14:paraId="1F012108" w14:textId="77777777" w:rsidR="007F38C5" w:rsidRPr="00067E8C" w:rsidRDefault="007F38C5" w:rsidP="007F38C5">
      <w:pPr>
        <w:pStyle w:val="Subheading"/>
      </w:pPr>
    </w:p>
    <w:p w14:paraId="095CF179" w14:textId="77777777" w:rsidR="007F38C5" w:rsidRPr="00AD6EE7" w:rsidRDefault="007F38C5" w:rsidP="007F38C5">
      <w:pPr>
        <w:spacing w:line="480" w:lineRule="auto"/>
        <w:ind w:left="57"/>
        <w:rPr>
          <w:b/>
          <w:bCs/>
          <w:sz w:val="32"/>
          <w:szCs w:val="32"/>
        </w:rPr>
      </w:pPr>
      <w:r w:rsidRPr="00AD6EE7">
        <w:rPr>
          <w:b/>
          <w:bCs/>
          <w:sz w:val="32"/>
          <w:szCs w:val="32"/>
        </w:rPr>
        <w:t xml:space="preserve">Purpose of paper </w:t>
      </w:r>
    </w:p>
    <w:p w14:paraId="4F763243" w14:textId="44AB5F3B" w:rsidR="007F38C5" w:rsidRDefault="007F38C5" w:rsidP="007F38C5">
      <w:pPr>
        <w:pStyle w:val="ListParagraph"/>
        <w:numPr>
          <w:ilvl w:val="0"/>
          <w:numId w:val="4"/>
        </w:numPr>
        <w:spacing w:line="276" w:lineRule="auto"/>
      </w:pPr>
      <w:r w:rsidRPr="00067E8C">
        <w:t xml:space="preserve">This paper provides an overview of the business of the Audit, Risk and Assurance Committee (ARAC) meeting held on </w:t>
      </w:r>
      <w:r>
        <w:t>8 June 2023</w:t>
      </w:r>
      <w:r w:rsidRPr="00067E8C">
        <w:t>.</w:t>
      </w:r>
    </w:p>
    <w:p w14:paraId="7B28B083" w14:textId="77777777" w:rsidR="007F38C5" w:rsidRPr="007F38C5" w:rsidRDefault="007F38C5" w:rsidP="007F38C5">
      <w:pPr>
        <w:pStyle w:val="ListParagraph"/>
        <w:spacing w:line="276" w:lineRule="auto"/>
        <w:ind w:left="510"/>
      </w:pPr>
    </w:p>
    <w:p w14:paraId="047322A3" w14:textId="77777777" w:rsidR="007F38C5" w:rsidRPr="00AD6EE7" w:rsidRDefault="007F38C5" w:rsidP="007F38C5">
      <w:pPr>
        <w:spacing w:line="480" w:lineRule="auto"/>
        <w:ind w:left="57"/>
        <w:rPr>
          <w:b/>
          <w:bCs/>
          <w:sz w:val="32"/>
          <w:szCs w:val="32"/>
        </w:rPr>
      </w:pPr>
      <w:r w:rsidRPr="00AD6EE7">
        <w:rPr>
          <w:b/>
          <w:bCs/>
          <w:sz w:val="32"/>
          <w:szCs w:val="32"/>
        </w:rPr>
        <w:t>Action required</w:t>
      </w:r>
    </w:p>
    <w:p w14:paraId="590B9124" w14:textId="77777777" w:rsidR="007F38C5" w:rsidRDefault="007F38C5" w:rsidP="007F38C5">
      <w:pPr>
        <w:pStyle w:val="ListParagraph"/>
        <w:numPr>
          <w:ilvl w:val="0"/>
          <w:numId w:val="4"/>
        </w:numPr>
        <w:spacing w:line="276" w:lineRule="auto"/>
      </w:pPr>
      <w:r w:rsidRPr="00067E8C">
        <w:t>The Board is asked to note the content of this report.</w:t>
      </w:r>
    </w:p>
    <w:p w14:paraId="2BCBF9DB" w14:textId="77777777" w:rsidR="007F38C5" w:rsidRPr="00067E8C" w:rsidRDefault="007F38C5" w:rsidP="007F38C5">
      <w:pPr>
        <w:pStyle w:val="ListParagraph"/>
        <w:spacing w:line="276" w:lineRule="auto"/>
        <w:ind w:left="510"/>
      </w:pPr>
    </w:p>
    <w:p w14:paraId="4B3D0FFD" w14:textId="77777777" w:rsidR="007F38C5" w:rsidRPr="00AD6EE7" w:rsidRDefault="007F38C5" w:rsidP="007F38C5">
      <w:pPr>
        <w:spacing w:line="480" w:lineRule="auto"/>
        <w:ind w:left="57"/>
        <w:rPr>
          <w:b/>
          <w:bCs/>
          <w:sz w:val="32"/>
          <w:szCs w:val="32"/>
        </w:rPr>
      </w:pPr>
      <w:r w:rsidRPr="00AD6EE7">
        <w:rPr>
          <w:b/>
          <w:bCs/>
          <w:sz w:val="32"/>
          <w:szCs w:val="32"/>
        </w:rPr>
        <w:t>Background</w:t>
      </w:r>
    </w:p>
    <w:p w14:paraId="009B370E" w14:textId="77777777" w:rsidR="007F38C5" w:rsidRDefault="007F38C5" w:rsidP="007F38C5">
      <w:pPr>
        <w:pStyle w:val="ListParagraph"/>
        <w:numPr>
          <w:ilvl w:val="0"/>
          <w:numId w:val="4"/>
        </w:numPr>
        <w:spacing w:line="276" w:lineRule="auto"/>
        <w:rPr>
          <w:bCs/>
        </w:rPr>
      </w:pPr>
      <w:r w:rsidRPr="00067E8C">
        <w:rPr>
          <w:bCs/>
        </w:rPr>
        <w:t>The Committee discussed the following items as material elements of the meeting.</w:t>
      </w:r>
    </w:p>
    <w:p w14:paraId="5D9BB4E7" w14:textId="77777777" w:rsidR="007F38C5" w:rsidRPr="00067E8C" w:rsidRDefault="007F38C5" w:rsidP="007F38C5">
      <w:pPr>
        <w:pStyle w:val="ListParagraph"/>
        <w:spacing w:line="276" w:lineRule="auto"/>
        <w:ind w:left="510"/>
        <w:rPr>
          <w:bCs/>
        </w:rPr>
      </w:pPr>
    </w:p>
    <w:p w14:paraId="6970F9A6" w14:textId="6CEA660B" w:rsidR="007F38C5" w:rsidRPr="00A30D3D" w:rsidRDefault="007F38C5" w:rsidP="00A30D3D">
      <w:pPr>
        <w:spacing w:line="276" w:lineRule="auto"/>
        <w:ind w:left="57"/>
        <w:rPr>
          <w:bCs/>
          <w:i/>
          <w:iCs/>
          <w:sz w:val="24"/>
          <w:szCs w:val="24"/>
        </w:rPr>
      </w:pPr>
      <w:r w:rsidRPr="00A30D3D">
        <w:rPr>
          <w:bCs/>
          <w:i/>
          <w:iCs/>
          <w:sz w:val="24"/>
          <w:szCs w:val="24"/>
        </w:rPr>
        <w:t>Internal Audit</w:t>
      </w:r>
    </w:p>
    <w:p w14:paraId="0B7B7943" w14:textId="0315BFFE" w:rsidR="00A30D3D" w:rsidRPr="00A30D3D" w:rsidRDefault="00A30D3D" w:rsidP="007F38C5">
      <w:pPr>
        <w:pStyle w:val="ListParagraph"/>
        <w:numPr>
          <w:ilvl w:val="0"/>
          <w:numId w:val="4"/>
        </w:numPr>
        <w:spacing w:line="320" w:lineRule="exact"/>
      </w:pPr>
      <w:r w:rsidRPr="00A30D3D">
        <w:rPr>
          <w:bCs/>
        </w:rPr>
        <w:t xml:space="preserve">The Committee noted four reports since their last meeting that concluded the 2022/23 internal audit plan, these included three moderate assurance reports for Living Organ Donation; Record to Report Financial </w:t>
      </w:r>
      <w:r w:rsidR="009729F0">
        <w:rPr>
          <w:bCs/>
        </w:rPr>
        <w:t>P</w:t>
      </w:r>
      <w:r w:rsidRPr="00A30D3D">
        <w:rPr>
          <w:bCs/>
        </w:rPr>
        <w:t xml:space="preserve">rocesses and Performance Measurement.  The fourth, </w:t>
      </w:r>
      <w:r w:rsidR="007A05DB" w:rsidRPr="00A30D3D">
        <w:rPr>
          <w:bCs/>
        </w:rPr>
        <w:t>a</w:t>
      </w:r>
      <w:r w:rsidRPr="00A30D3D">
        <w:rPr>
          <w:bCs/>
        </w:rPr>
        <w:t xml:space="preserve"> review of HTA’s Records Management </w:t>
      </w:r>
      <w:r w:rsidR="00E77DD1">
        <w:rPr>
          <w:bCs/>
        </w:rPr>
        <w:t>P</w:t>
      </w:r>
      <w:r w:rsidRPr="00A30D3D">
        <w:rPr>
          <w:bCs/>
        </w:rPr>
        <w:t xml:space="preserve">rocesses provided </w:t>
      </w:r>
      <w:r w:rsidR="00E77DD1">
        <w:rPr>
          <w:bCs/>
        </w:rPr>
        <w:t>l</w:t>
      </w:r>
      <w:r w:rsidRPr="00A30D3D">
        <w:rPr>
          <w:bCs/>
        </w:rPr>
        <w:t xml:space="preserve">imited assurance, but this was anticipated </w:t>
      </w:r>
      <w:r w:rsidRPr="00A30D3D">
        <w:rPr>
          <w:bCs/>
        </w:rPr>
        <w:lastRenderedPageBreak/>
        <w:t>and the report provides helpful recommendations for revised process currently being developed within the organisation.</w:t>
      </w:r>
    </w:p>
    <w:p w14:paraId="470E5EBA" w14:textId="77777777" w:rsidR="00A30D3D" w:rsidRPr="00A30D3D" w:rsidRDefault="00A30D3D" w:rsidP="00A30D3D">
      <w:pPr>
        <w:pStyle w:val="ListParagraph"/>
        <w:spacing w:line="320" w:lineRule="exact"/>
        <w:ind w:left="510"/>
      </w:pPr>
    </w:p>
    <w:p w14:paraId="2E2650A3" w14:textId="44890883" w:rsidR="007F38C5" w:rsidRDefault="007F38C5" w:rsidP="007F38C5">
      <w:pPr>
        <w:pStyle w:val="ListParagraph"/>
        <w:numPr>
          <w:ilvl w:val="0"/>
          <w:numId w:val="4"/>
        </w:numPr>
        <w:spacing w:line="320" w:lineRule="exact"/>
      </w:pPr>
      <w:r>
        <w:rPr>
          <w:bCs/>
        </w:rPr>
        <w:t xml:space="preserve">The Committee then received the internal audit opinion for 2022/23 from the Head of Internal Audit, which concluded that an overall rating of moderate assurance could be provided. This was in keeping with previous years, although the committee noted that the report indicated a slight downward trajectory from previous years and that this would need to be addressed during 2023/24 if </w:t>
      </w:r>
      <w:r w:rsidR="00DD4A63">
        <w:rPr>
          <w:bCs/>
        </w:rPr>
        <w:t>m</w:t>
      </w:r>
      <w:r>
        <w:rPr>
          <w:bCs/>
        </w:rPr>
        <w:t>oderate assurance levels were to be maintained.</w:t>
      </w:r>
    </w:p>
    <w:p w14:paraId="5604FE05" w14:textId="77777777" w:rsidR="00A30D3D" w:rsidRDefault="00A30D3D" w:rsidP="00A30D3D">
      <w:pPr>
        <w:spacing w:line="276" w:lineRule="auto"/>
        <w:ind w:left="57"/>
        <w:rPr>
          <w:bCs/>
          <w:i/>
          <w:iCs/>
          <w:sz w:val="24"/>
          <w:szCs w:val="24"/>
        </w:rPr>
      </w:pPr>
    </w:p>
    <w:p w14:paraId="352BC70D" w14:textId="4940CCFE" w:rsidR="007F38C5" w:rsidRPr="00A30D3D" w:rsidRDefault="007F38C5" w:rsidP="00A30D3D">
      <w:pPr>
        <w:spacing w:line="276" w:lineRule="auto"/>
        <w:ind w:left="57"/>
        <w:rPr>
          <w:bCs/>
          <w:i/>
          <w:iCs/>
          <w:sz w:val="24"/>
          <w:szCs w:val="24"/>
        </w:rPr>
      </w:pPr>
      <w:r w:rsidRPr="00A30D3D">
        <w:rPr>
          <w:bCs/>
          <w:i/>
          <w:iCs/>
          <w:sz w:val="24"/>
          <w:szCs w:val="24"/>
        </w:rPr>
        <w:t>Annual Report and Accounts 2022/23</w:t>
      </w:r>
    </w:p>
    <w:p w14:paraId="2C70BCD9" w14:textId="36A1087A" w:rsidR="007F38C5" w:rsidRDefault="007F38C5" w:rsidP="007F38C5">
      <w:pPr>
        <w:pStyle w:val="ListParagraph"/>
        <w:numPr>
          <w:ilvl w:val="0"/>
          <w:numId w:val="4"/>
        </w:numPr>
        <w:spacing w:line="320" w:lineRule="exact"/>
        <w:rPr>
          <w:bCs/>
        </w:rPr>
      </w:pPr>
      <w:r w:rsidRPr="00564033">
        <w:rPr>
          <w:bCs/>
        </w:rPr>
        <w:t>The Director of Resources presented the Annual Report and Accounts for the 2021/2</w:t>
      </w:r>
      <w:r>
        <w:rPr>
          <w:bCs/>
        </w:rPr>
        <w:t>2</w:t>
      </w:r>
      <w:r w:rsidRPr="00564033">
        <w:rPr>
          <w:bCs/>
        </w:rPr>
        <w:t xml:space="preserve"> financial year to the Committee. </w:t>
      </w:r>
      <w:r>
        <w:rPr>
          <w:bCs/>
        </w:rPr>
        <w:t>The committee noted and discussed material movements in the accounts from the previous financial year and the new disclosures for this reporting year.</w:t>
      </w:r>
    </w:p>
    <w:p w14:paraId="0AA943A8" w14:textId="77777777" w:rsidR="00AD6EE7" w:rsidRDefault="00AD6EE7" w:rsidP="00AD6EE7">
      <w:pPr>
        <w:pStyle w:val="ListParagraph"/>
        <w:spacing w:line="320" w:lineRule="exact"/>
        <w:ind w:left="510"/>
        <w:rPr>
          <w:bCs/>
        </w:rPr>
      </w:pPr>
    </w:p>
    <w:p w14:paraId="1755F7A5" w14:textId="43DF6605" w:rsidR="007F38C5" w:rsidRDefault="007F38C5" w:rsidP="007F38C5">
      <w:pPr>
        <w:pStyle w:val="ListParagraph"/>
        <w:numPr>
          <w:ilvl w:val="0"/>
          <w:numId w:val="4"/>
        </w:numPr>
        <w:spacing w:line="320" w:lineRule="exact"/>
        <w:rPr>
          <w:bCs/>
        </w:rPr>
      </w:pPr>
      <w:r w:rsidRPr="00564033">
        <w:rPr>
          <w:bCs/>
        </w:rPr>
        <w:t xml:space="preserve">The Committee then received the draft External Audit </w:t>
      </w:r>
      <w:r w:rsidR="00286FA9">
        <w:rPr>
          <w:bCs/>
        </w:rPr>
        <w:t>C</w:t>
      </w:r>
      <w:r w:rsidRPr="00564033">
        <w:rPr>
          <w:bCs/>
        </w:rPr>
        <w:t xml:space="preserve">ompletion </w:t>
      </w:r>
      <w:r w:rsidR="00286FA9">
        <w:rPr>
          <w:bCs/>
        </w:rPr>
        <w:t>R</w:t>
      </w:r>
      <w:r w:rsidRPr="00564033">
        <w:rPr>
          <w:bCs/>
        </w:rPr>
        <w:t xml:space="preserve">eport from </w:t>
      </w:r>
      <w:r>
        <w:rPr>
          <w:bCs/>
        </w:rPr>
        <w:t>Dean Gibbs</w:t>
      </w:r>
      <w:r w:rsidRPr="00564033">
        <w:rPr>
          <w:bCs/>
        </w:rPr>
        <w:t xml:space="preserve"> of </w:t>
      </w:r>
      <w:r>
        <w:rPr>
          <w:bCs/>
        </w:rPr>
        <w:t xml:space="preserve">KPMG on behalf of the </w:t>
      </w:r>
      <w:r w:rsidRPr="00564033">
        <w:rPr>
          <w:bCs/>
        </w:rPr>
        <w:t xml:space="preserve">National Audit Office. The committee noted that there were no material errors found or audit adjustments </w:t>
      </w:r>
      <w:r w:rsidR="007A05DB" w:rsidRPr="00564033">
        <w:rPr>
          <w:bCs/>
        </w:rPr>
        <w:t>recommended,</w:t>
      </w:r>
      <w:r w:rsidRPr="00564033">
        <w:rPr>
          <w:bCs/>
        </w:rPr>
        <w:t xml:space="preserve"> and that the opinion was for the accounts to be unqualified.</w:t>
      </w:r>
    </w:p>
    <w:p w14:paraId="580A3B00" w14:textId="77777777" w:rsidR="007F38C5" w:rsidRDefault="007F38C5" w:rsidP="007F38C5">
      <w:pPr>
        <w:pStyle w:val="ListParagraph"/>
        <w:spacing w:line="320" w:lineRule="exact"/>
        <w:ind w:left="510"/>
        <w:rPr>
          <w:bCs/>
        </w:rPr>
      </w:pPr>
    </w:p>
    <w:p w14:paraId="5CE9E431" w14:textId="0E115043" w:rsidR="00A30D3D" w:rsidRPr="00A30D3D" w:rsidRDefault="007F38C5" w:rsidP="00A30D3D">
      <w:pPr>
        <w:pStyle w:val="ListParagraph"/>
        <w:numPr>
          <w:ilvl w:val="0"/>
          <w:numId w:val="4"/>
        </w:numPr>
        <w:spacing w:line="320" w:lineRule="exact"/>
        <w:rPr>
          <w:bCs/>
        </w:rPr>
      </w:pPr>
      <w:r w:rsidRPr="00A30D3D">
        <w:rPr>
          <w:bCs/>
        </w:rPr>
        <w:t>Subject to the conclusion of the audit process with no further material findings, the Committee endorsed the recommendation that the Annual Report and Accounts be signed by the Accounting Officer</w:t>
      </w:r>
      <w:r w:rsidR="00A30D3D">
        <w:rPr>
          <w:bCs/>
        </w:rPr>
        <w:t>.</w:t>
      </w:r>
    </w:p>
    <w:p w14:paraId="30381674" w14:textId="77777777" w:rsidR="00A30D3D" w:rsidRDefault="00A30D3D" w:rsidP="00A30D3D">
      <w:pPr>
        <w:spacing w:line="276" w:lineRule="auto"/>
        <w:ind w:left="57"/>
        <w:rPr>
          <w:bCs/>
          <w:i/>
          <w:iCs/>
          <w:sz w:val="24"/>
          <w:szCs w:val="24"/>
        </w:rPr>
      </w:pPr>
    </w:p>
    <w:p w14:paraId="04124FFB" w14:textId="1891E62D" w:rsidR="007F38C5" w:rsidRPr="00A30D3D" w:rsidRDefault="007F38C5" w:rsidP="00A30D3D">
      <w:pPr>
        <w:spacing w:line="276" w:lineRule="auto"/>
        <w:ind w:left="57"/>
        <w:rPr>
          <w:bCs/>
          <w:i/>
          <w:iCs/>
          <w:sz w:val="24"/>
          <w:szCs w:val="24"/>
        </w:rPr>
      </w:pPr>
      <w:r w:rsidRPr="00A30D3D">
        <w:rPr>
          <w:bCs/>
          <w:i/>
          <w:iCs/>
          <w:sz w:val="24"/>
          <w:szCs w:val="24"/>
        </w:rPr>
        <w:t>Strategic Risk Register</w:t>
      </w:r>
    </w:p>
    <w:p w14:paraId="1B3CC4DD" w14:textId="0E73959F" w:rsidR="007F38C5" w:rsidRDefault="007F38C5" w:rsidP="007F38C5">
      <w:pPr>
        <w:pStyle w:val="ListParagraph"/>
        <w:numPr>
          <w:ilvl w:val="0"/>
          <w:numId w:val="4"/>
        </w:numPr>
        <w:spacing w:line="320" w:lineRule="exact"/>
      </w:pPr>
      <w:r>
        <w:t xml:space="preserve">The revised Strategic Risk Register (SRR) was considered by the Committee, this had been updated to reflect the 2023/24 Business Plan and included updates to several risk areas and the Executive’s proposal to create new risks for </w:t>
      </w:r>
      <w:r w:rsidR="0069046B">
        <w:t>f</w:t>
      </w:r>
      <w:r>
        <w:t xml:space="preserve">ailure to deliver the Business Plan and </w:t>
      </w:r>
      <w:r w:rsidR="0069046B">
        <w:t>f</w:t>
      </w:r>
      <w:r>
        <w:t xml:space="preserve">ailure to adhere to corporate responsibilities.  The Committee were not minded </w:t>
      </w:r>
      <w:bookmarkStart w:id="0" w:name="_Int_bwmCciZ4"/>
      <w:r>
        <w:t>to agree</w:t>
      </w:r>
      <w:bookmarkEnd w:id="0"/>
      <w:r>
        <w:t xml:space="preserve"> with the Executive regarding the new </w:t>
      </w:r>
      <w:r w:rsidR="007A05DB">
        <w:t>risks and</w:t>
      </w:r>
      <w:r>
        <w:t xml:space="preserve"> felt that the areas identified did not necessarily require explicit separation but could be conveyed within the existing 7 strategic risks.   </w:t>
      </w:r>
    </w:p>
    <w:p w14:paraId="05591101" w14:textId="77777777" w:rsidR="007F38C5" w:rsidRPr="001230D6" w:rsidRDefault="007F38C5" w:rsidP="007F38C5">
      <w:pPr>
        <w:pStyle w:val="ListParagraph"/>
        <w:spacing w:line="320" w:lineRule="exact"/>
        <w:ind w:left="510"/>
        <w:rPr>
          <w:bCs/>
        </w:rPr>
      </w:pPr>
      <w:r>
        <w:rPr>
          <w:bCs/>
        </w:rPr>
        <w:t xml:space="preserve"> </w:t>
      </w:r>
    </w:p>
    <w:p w14:paraId="1E291B86" w14:textId="77777777" w:rsidR="00A30D3D" w:rsidRDefault="00A30D3D" w:rsidP="00A30D3D">
      <w:pPr>
        <w:spacing w:line="276" w:lineRule="auto"/>
        <w:ind w:left="57"/>
        <w:rPr>
          <w:bCs/>
          <w:i/>
          <w:iCs/>
          <w:sz w:val="24"/>
          <w:szCs w:val="24"/>
        </w:rPr>
      </w:pPr>
    </w:p>
    <w:p w14:paraId="039B0045" w14:textId="77777777" w:rsidR="00A30D3D" w:rsidRDefault="00A30D3D" w:rsidP="00A30D3D">
      <w:pPr>
        <w:spacing w:line="276" w:lineRule="auto"/>
        <w:ind w:left="57"/>
        <w:rPr>
          <w:bCs/>
          <w:i/>
          <w:iCs/>
          <w:sz w:val="24"/>
          <w:szCs w:val="24"/>
        </w:rPr>
      </w:pPr>
    </w:p>
    <w:p w14:paraId="7ABA1593" w14:textId="2A11B009" w:rsidR="007F38C5" w:rsidRPr="00A30D3D" w:rsidRDefault="007F38C5" w:rsidP="00A30D3D">
      <w:pPr>
        <w:spacing w:line="276" w:lineRule="auto"/>
        <w:ind w:left="57"/>
        <w:rPr>
          <w:bCs/>
          <w:i/>
          <w:iCs/>
          <w:sz w:val="24"/>
          <w:szCs w:val="24"/>
        </w:rPr>
      </w:pPr>
      <w:r w:rsidRPr="00A30D3D">
        <w:rPr>
          <w:bCs/>
          <w:i/>
          <w:iCs/>
          <w:sz w:val="24"/>
          <w:szCs w:val="24"/>
        </w:rPr>
        <w:lastRenderedPageBreak/>
        <w:t>Other items</w:t>
      </w:r>
    </w:p>
    <w:p w14:paraId="1371A966" w14:textId="5E191CDC" w:rsidR="007F38C5" w:rsidRDefault="007F38C5" w:rsidP="007F38C5">
      <w:pPr>
        <w:pStyle w:val="ListParagraph"/>
        <w:numPr>
          <w:ilvl w:val="0"/>
          <w:numId w:val="4"/>
        </w:numPr>
        <w:spacing w:line="320" w:lineRule="exact"/>
      </w:pPr>
      <w:r>
        <w:t xml:space="preserve">The Committee received an update on Cyber Security from Louise Dineley, Director of Data, Technology &amp; Development, and noted the annual report from the Senior Information Risk Owner. </w:t>
      </w:r>
    </w:p>
    <w:p w14:paraId="190C7E6F" w14:textId="77777777" w:rsidR="00A30D3D" w:rsidRPr="00675A84" w:rsidRDefault="00A30D3D" w:rsidP="00A30D3D">
      <w:pPr>
        <w:pStyle w:val="ListParagraph"/>
        <w:spacing w:line="320" w:lineRule="exact"/>
        <w:ind w:left="510"/>
      </w:pPr>
    </w:p>
    <w:p w14:paraId="6FE9583E" w14:textId="6183D0A2" w:rsidR="00A561D3" w:rsidRDefault="007F38C5" w:rsidP="00A561D3">
      <w:pPr>
        <w:pStyle w:val="ListParagraph"/>
        <w:numPr>
          <w:ilvl w:val="0"/>
          <w:numId w:val="4"/>
        </w:numPr>
        <w:spacing w:line="320" w:lineRule="exact"/>
      </w:pPr>
      <w:r>
        <w:t xml:space="preserve">The Committee noted that the HTA was in the process of finalising </w:t>
      </w:r>
      <w:r w:rsidR="007A05DB">
        <w:t>its</w:t>
      </w:r>
      <w:r>
        <w:t xml:space="preserve"> annual Data Security Protection Toolkit submission to NHS Digital, which is due on 30 June 2023. </w:t>
      </w:r>
    </w:p>
    <w:p w14:paraId="5D931DC1" w14:textId="77777777" w:rsidR="00A561D3" w:rsidRPr="00675A84" w:rsidRDefault="00A561D3" w:rsidP="00A561D3">
      <w:pPr>
        <w:pStyle w:val="ListParagraph"/>
        <w:spacing w:line="320" w:lineRule="exact"/>
        <w:ind w:left="510"/>
      </w:pPr>
    </w:p>
    <w:p w14:paraId="595F4079" w14:textId="63070481" w:rsidR="007F38C5" w:rsidRDefault="007F38C5" w:rsidP="007F38C5">
      <w:pPr>
        <w:pStyle w:val="ListParagraph"/>
        <w:numPr>
          <w:ilvl w:val="0"/>
          <w:numId w:val="4"/>
        </w:numPr>
        <w:spacing w:line="320" w:lineRule="exact"/>
      </w:pPr>
      <w:r>
        <w:t>The Committee also received an update on the HTA’s assessment against Government Function Standards. The Committee noted the work to assess the current adherence and asked for more explicit indication of the further work that would be undertaken to move towards compliance or recommendations to risk accept partially met against areas where full compliance would be both resource intensive with limited additional risk mitigation.</w:t>
      </w:r>
    </w:p>
    <w:p w14:paraId="7EACB047" w14:textId="77777777" w:rsidR="00A30D3D" w:rsidRPr="00A30D3D" w:rsidRDefault="00A30D3D" w:rsidP="007F38C5">
      <w:pPr>
        <w:spacing w:line="480" w:lineRule="auto"/>
        <w:ind w:left="57"/>
        <w:rPr>
          <w:b/>
          <w:bCs/>
          <w:sz w:val="16"/>
          <w:szCs w:val="16"/>
        </w:rPr>
      </w:pPr>
    </w:p>
    <w:p w14:paraId="4DA6680C" w14:textId="703A110A" w:rsidR="007F38C5" w:rsidRPr="00A561D3" w:rsidRDefault="007F38C5" w:rsidP="007F38C5">
      <w:pPr>
        <w:spacing w:line="480" w:lineRule="auto"/>
        <w:ind w:left="57"/>
        <w:rPr>
          <w:b/>
          <w:bCs/>
          <w:sz w:val="32"/>
          <w:szCs w:val="32"/>
        </w:rPr>
      </w:pPr>
      <w:r w:rsidRPr="00A561D3">
        <w:rPr>
          <w:b/>
          <w:bCs/>
          <w:sz w:val="32"/>
          <w:szCs w:val="32"/>
        </w:rPr>
        <w:t>Recommendation</w:t>
      </w:r>
    </w:p>
    <w:p w14:paraId="06E4C76B" w14:textId="77777777" w:rsidR="007F38C5" w:rsidRDefault="007F38C5" w:rsidP="007F38C5">
      <w:pPr>
        <w:pStyle w:val="ListParagraph"/>
        <w:numPr>
          <w:ilvl w:val="0"/>
          <w:numId w:val="4"/>
        </w:numPr>
        <w:spacing w:line="276" w:lineRule="auto"/>
      </w:pPr>
      <w:r>
        <w:t>The Board is asked to note the content of this report.</w:t>
      </w:r>
    </w:p>
    <w:p w14:paraId="3B410E76" w14:textId="77777777" w:rsidR="00871491" w:rsidRPr="00A76E0D" w:rsidRDefault="00871491" w:rsidP="00871491">
      <w:pPr>
        <w:pStyle w:val="NumberedlistHTA"/>
        <w:numPr>
          <w:ilvl w:val="0"/>
          <w:numId w:val="0"/>
        </w:numPr>
        <w:spacing w:after="160"/>
        <w:ind w:left="714" w:hanging="357"/>
      </w:pPr>
    </w:p>
    <w:p w14:paraId="49689CE7" w14:textId="1F936470" w:rsidR="00E73160" w:rsidRPr="00075296" w:rsidRDefault="00E73160" w:rsidP="00075296">
      <w:pPr>
        <w:rPr>
          <w:rStyle w:val="Emphasis"/>
          <w:i w:val="0"/>
          <w:iCs w:val="0"/>
        </w:rPr>
      </w:pPr>
    </w:p>
    <w:sectPr w:rsidR="00E73160" w:rsidRPr="00075296" w:rsidSect="00075296">
      <w:headerReference w:type="default" r:id="rId12"/>
      <w:footerReference w:type="default" r:id="rId13"/>
      <w:pgSz w:w="11906" w:h="16838"/>
      <w:pgMar w:top="1702" w:right="1440" w:bottom="1440" w:left="1440" w:header="567" w:footer="3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790F7" w14:textId="77777777" w:rsidR="005E2F25" w:rsidRDefault="005E2F25" w:rsidP="000C5581">
      <w:pPr>
        <w:spacing w:after="0" w:line="240" w:lineRule="auto"/>
      </w:pPr>
      <w:r>
        <w:separator/>
      </w:r>
    </w:p>
  </w:endnote>
  <w:endnote w:type="continuationSeparator" w:id="0">
    <w:p w14:paraId="245386E3" w14:textId="77777777" w:rsidR="005E2F25" w:rsidRDefault="005E2F25" w:rsidP="000C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color w:val="auto"/>
        <w:sz w:val="18"/>
        <w:szCs w:val="18"/>
      </w:rPr>
      <w:id w:val="-1778165792"/>
      <w:docPartObj>
        <w:docPartGallery w:val="Page Numbers (Bottom of Page)"/>
        <w:docPartUnique/>
      </w:docPartObj>
    </w:sdtPr>
    <w:sdtEndPr>
      <w:rPr>
        <w:noProof/>
        <w:sz w:val="22"/>
        <w:szCs w:val="22"/>
      </w:rPr>
    </w:sdtEndPr>
    <w:sdtContent>
      <w:p w14:paraId="44EAC5C0" w14:textId="77777777" w:rsidR="00075296" w:rsidRPr="00E76FC1" w:rsidRDefault="00075296" w:rsidP="00075296">
        <w:pPr>
          <w:pStyle w:val="BodytextHTA"/>
          <w:rPr>
            <w:sz w:val="18"/>
            <w:szCs w:val="18"/>
          </w:rPr>
        </w:pPr>
      </w:p>
      <w:p w14:paraId="49964B0D" w14:textId="5BB8358A" w:rsidR="00075296" w:rsidRPr="00E76FC1" w:rsidRDefault="00075296" w:rsidP="00075296">
        <w:pPr>
          <w:pStyle w:val="BodytextHTA"/>
          <w:rPr>
            <w:sz w:val="18"/>
            <w:szCs w:val="18"/>
          </w:rPr>
        </w:pPr>
        <w:r w:rsidRPr="00E76FC1">
          <w:rPr>
            <w:sz w:val="18"/>
            <w:szCs w:val="18"/>
          </w:rPr>
          <w:t xml:space="preserve">HTA meeting papers are not policy documents. </w:t>
        </w:r>
        <w:r w:rsidRPr="00E76FC1">
          <w:rPr>
            <w:sz w:val="18"/>
            <w:szCs w:val="18"/>
          </w:rPr>
          <w:br/>
          <w:t>Draft policies may be subject to revision following the HTA Board meeting</w:t>
        </w:r>
      </w:p>
      <w:p w14:paraId="3807FAA9" w14:textId="089B4F61" w:rsidR="001F300A" w:rsidRDefault="00F657C0" w:rsidP="001F300A">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BD48E" w14:textId="77777777" w:rsidR="005E2F25" w:rsidRDefault="005E2F25" w:rsidP="000C5581">
      <w:pPr>
        <w:spacing w:after="0" w:line="240" w:lineRule="auto"/>
      </w:pPr>
      <w:r>
        <w:separator/>
      </w:r>
    </w:p>
  </w:footnote>
  <w:footnote w:type="continuationSeparator" w:id="0">
    <w:p w14:paraId="2A4636D9" w14:textId="77777777" w:rsidR="005E2F25" w:rsidRDefault="005E2F25" w:rsidP="000C5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B2A2" w14:textId="4FE280DA" w:rsidR="008C7CA1" w:rsidRDefault="008C7CA1">
    <w:pPr>
      <w:pStyle w:val="Header"/>
    </w:pPr>
    <w:r>
      <w:rPr>
        <w:noProof/>
      </w:rPr>
      <w:drawing>
        <wp:anchor distT="0" distB="0" distL="114300" distR="114300" simplePos="0" relativeHeight="251659264" behindDoc="1" locked="1" layoutInCell="1" allowOverlap="1" wp14:anchorId="3F760C3A" wp14:editId="310BCD0D">
          <wp:simplePos x="0" y="0"/>
          <wp:positionH relativeFrom="page">
            <wp:posOffset>5159375</wp:posOffset>
          </wp:positionH>
          <wp:positionV relativeFrom="page">
            <wp:posOffset>360045</wp:posOffset>
          </wp:positionV>
          <wp:extent cx="2019600" cy="608400"/>
          <wp:effectExtent l="0" t="0" r="0" b="127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2019600" cy="608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bwmCciZ4" int2:invalidationBookmarkName="" int2:hashCode="YqkmUjlQEsjGgB" int2:id="OnmlSxg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B075B"/>
    <w:multiLevelType w:val="hybridMultilevel"/>
    <w:tmpl w:val="B74C84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285A2CFB"/>
    <w:multiLevelType w:val="hybridMultilevel"/>
    <w:tmpl w:val="7B70F68C"/>
    <w:lvl w:ilvl="0" w:tplc="5B80CADA">
      <w:start w:val="1"/>
      <w:numFmt w:val="decimal"/>
      <w:lvlText w:val="%1."/>
      <w:lvlJc w:val="left"/>
      <w:pPr>
        <w:ind w:left="510" w:hanging="453"/>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BE387A"/>
    <w:multiLevelType w:val="hybridMultilevel"/>
    <w:tmpl w:val="734EDDB4"/>
    <w:lvl w:ilvl="0" w:tplc="CF1E320A">
      <w:start w:val="1"/>
      <w:numFmt w:val="decimal"/>
      <w:pStyle w:val="NumberedlistHTA"/>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7B7952"/>
    <w:multiLevelType w:val="hybridMultilevel"/>
    <w:tmpl w:val="FF5866FA"/>
    <w:lvl w:ilvl="0" w:tplc="0F1E6B90">
      <w:start w:val="1"/>
      <w:numFmt w:val="bullet"/>
      <w:pStyle w:val="BulletedlistHT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949457">
    <w:abstractNumId w:val="3"/>
  </w:num>
  <w:num w:numId="2" w16cid:durableId="1493178665">
    <w:abstractNumId w:val="2"/>
  </w:num>
  <w:num w:numId="3" w16cid:durableId="1843351356">
    <w:abstractNumId w:val="0"/>
  </w:num>
  <w:num w:numId="4" w16cid:durableId="844171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D3"/>
    <w:rsid w:val="00075296"/>
    <w:rsid w:val="000C5581"/>
    <w:rsid w:val="00124302"/>
    <w:rsid w:val="00133ED3"/>
    <w:rsid w:val="001F300A"/>
    <w:rsid w:val="00286FA9"/>
    <w:rsid w:val="002935FB"/>
    <w:rsid w:val="002D7076"/>
    <w:rsid w:val="003231A5"/>
    <w:rsid w:val="003344B2"/>
    <w:rsid w:val="003471D2"/>
    <w:rsid w:val="003E7E26"/>
    <w:rsid w:val="00430870"/>
    <w:rsid w:val="00517050"/>
    <w:rsid w:val="005E2F25"/>
    <w:rsid w:val="006073D3"/>
    <w:rsid w:val="0069046B"/>
    <w:rsid w:val="006D08C4"/>
    <w:rsid w:val="007A05DB"/>
    <w:rsid w:val="007F38C5"/>
    <w:rsid w:val="008057B0"/>
    <w:rsid w:val="00861968"/>
    <w:rsid w:val="00871491"/>
    <w:rsid w:val="008C7CA1"/>
    <w:rsid w:val="009729F0"/>
    <w:rsid w:val="009C4A28"/>
    <w:rsid w:val="00A07279"/>
    <w:rsid w:val="00A30D3D"/>
    <w:rsid w:val="00A561D3"/>
    <w:rsid w:val="00AC5C01"/>
    <w:rsid w:val="00AD6EE7"/>
    <w:rsid w:val="00AE7921"/>
    <w:rsid w:val="00B11497"/>
    <w:rsid w:val="00C778A6"/>
    <w:rsid w:val="00D127CB"/>
    <w:rsid w:val="00D263D8"/>
    <w:rsid w:val="00DD4A63"/>
    <w:rsid w:val="00E13E93"/>
    <w:rsid w:val="00E51378"/>
    <w:rsid w:val="00E73160"/>
    <w:rsid w:val="00E76FC1"/>
    <w:rsid w:val="00E77DD1"/>
    <w:rsid w:val="00E819ED"/>
    <w:rsid w:val="00F657C0"/>
    <w:rsid w:val="00F83A81"/>
    <w:rsid w:val="00FC76E1"/>
    <w:rsid w:val="0A597244"/>
    <w:rsid w:val="1DFCC4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DFCC4AE"/>
  <w15:chartTrackingRefBased/>
  <w15:docId w15:val="{A29945F4-B089-4300-9552-098FDF7CD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60"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4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581"/>
  </w:style>
  <w:style w:type="paragraph" w:styleId="Footer">
    <w:name w:val="footer"/>
    <w:basedOn w:val="Normal"/>
    <w:link w:val="FooterChar"/>
    <w:uiPriority w:val="99"/>
    <w:unhideWhenUsed/>
    <w:rsid w:val="000C5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581"/>
  </w:style>
  <w:style w:type="paragraph" w:customStyle="1" w:styleId="TitleHTA">
    <w:name w:val="Title HTA"/>
    <w:basedOn w:val="Normal"/>
    <w:link w:val="TitleHTAChar"/>
    <w:qFormat/>
    <w:rsid w:val="00124302"/>
    <w:pPr>
      <w:spacing w:before="0" w:after="240"/>
    </w:pPr>
    <w:rPr>
      <w:rFonts w:ascii="Arial" w:eastAsia="Batang" w:hAnsi="Arial" w:cs="Arial"/>
      <w:b/>
      <w:bCs/>
      <w:color w:val="4E1965" w:themeColor="text2"/>
      <w:sz w:val="40"/>
      <w:szCs w:val="40"/>
    </w:rPr>
  </w:style>
  <w:style w:type="paragraph" w:customStyle="1" w:styleId="SubheadingHTA">
    <w:name w:val="Subheading HTA"/>
    <w:basedOn w:val="TitleHTA"/>
    <w:link w:val="SubheadingHTAChar"/>
    <w:qFormat/>
    <w:rsid w:val="00124302"/>
    <w:pPr>
      <w:spacing w:before="160"/>
    </w:pPr>
    <w:rPr>
      <w:color w:val="000000" w:themeColor="text1"/>
      <w:sz w:val="32"/>
      <w:szCs w:val="32"/>
    </w:rPr>
  </w:style>
  <w:style w:type="character" w:customStyle="1" w:styleId="TitleHTAChar">
    <w:name w:val="Title HTA Char"/>
    <w:basedOn w:val="DefaultParagraphFont"/>
    <w:link w:val="TitleHTA"/>
    <w:rsid w:val="00124302"/>
    <w:rPr>
      <w:rFonts w:ascii="Arial" w:eastAsia="Batang" w:hAnsi="Arial" w:cs="Arial"/>
      <w:b/>
      <w:bCs/>
      <w:color w:val="4E1965" w:themeColor="text2"/>
      <w:sz w:val="40"/>
      <w:szCs w:val="40"/>
    </w:rPr>
  </w:style>
  <w:style w:type="paragraph" w:customStyle="1" w:styleId="BodytextHTA">
    <w:name w:val="Body text HTA"/>
    <w:basedOn w:val="SubheadingHTA"/>
    <w:link w:val="BodytextHTAChar"/>
    <w:qFormat/>
    <w:rsid w:val="00124302"/>
    <w:pPr>
      <w:spacing w:before="0"/>
    </w:pPr>
    <w:rPr>
      <w:b w:val="0"/>
      <w:bCs w:val="0"/>
      <w:sz w:val="24"/>
      <w:szCs w:val="24"/>
    </w:rPr>
  </w:style>
  <w:style w:type="character" w:customStyle="1" w:styleId="SubheadingHTAChar">
    <w:name w:val="Subheading HTA Char"/>
    <w:basedOn w:val="TitleHTAChar"/>
    <w:link w:val="SubheadingHTA"/>
    <w:rsid w:val="00124302"/>
    <w:rPr>
      <w:rFonts w:ascii="Arial" w:eastAsia="Batang" w:hAnsi="Arial" w:cs="Arial"/>
      <w:b/>
      <w:bCs/>
      <w:color w:val="000000" w:themeColor="text1"/>
      <w:sz w:val="32"/>
      <w:szCs w:val="32"/>
    </w:rPr>
  </w:style>
  <w:style w:type="paragraph" w:customStyle="1" w:styleId="Heading1HTA">
    <w:name w:val="Heading 1 HTA"/>
    <w:basedOn w:val="BodytextHTA"/>
    <w:link w:val="Heading1HTAChar"/>
    <w:qFormat/>
    <w:rsid w:val="00124302"/>
    <w:pPr>
      <w:spacing w:before="160"/>
    </w:pPr>
    <w:rPr>
      <w:b/>
      <w:bCs/>
      <w:sz w:val="40"/>
      <w:szCs w:val="40"/>
    </w:rPr>
  </w:style>
  <w:style w:type="character" w:customStyle="1" w:styleId="BodytextHTAChar">
    <w:name w:val="Body text HTA Char"/>
    <w:basedOn w:val="SubheadingHTAChar"/>
    <w:link w:val="BodytextHTA"/>
    <w:rsid w:val="00124302"/>
    <w:rPr>
      <w:rFonts w:ascii="Arial" w:eastAsia="Batang" w:hAnsi="Arial" w:cs="Arial"/>
      <w:b w:val="0"/>
      <w:bCs w:val="0"/>
      <w:color w:val="000000" w:themeColor="text1"/>
      <w:sz w:val="24"/>
      <w:szCs w:val="24"/>
    </w:rPr>
  </w:style>
  <w:style w:type="paragraph" w:customStyle="1" w:styleId="Heading2HTA">
    <w:name w:val="Heading 2 HTA"/>
    <w:basedOn w:val="BodytextHTA"/>
    <w:link w:val="Heading2HTAChar"/>
    <w:qFormat/>
    <w:rsid w:val="00124302"/>
    <w:pPr>
      <w:spacing w:before="160"/>
    </w:pPr>
    <w:rPr>
      <w:b/>
      <w:bCs/>
      <w:sz w:val="32"/>
      <w:szCs w:val="32"/>
    </w:rPr>
  </w:style>
  <w:style w:type="character" w:customStyle="1" w:styleId="Heading1HTAChar">
    <w:name w:val="Heading 1 HTA Char"/>
    <w:basedOn w:val="BodytextHTAChar"/>
    <w:link w:val="Heading1HTA"/>
    <w:rsid w:val="00124302"/>
    <w:rPr>
      <w:rFonts w:ascii="Arial" w:eastAsia="Batang" w:hAnsi="Arial" w:cs="Arial"/>
      <w:b/>
      <w:bCs/>
      <w:color w:val="000000" w:themeColor="text1"/>
      <w:sz w:val="40"/>
      <w:szCs w:val="40"/>
    </w:rPr>
  </w:style>
  <w:style w:type="paragraph" w:customStyle="1" w:styleId="Heading3HTA">
    <w:name w:val="Heading 3 HTA"/>
    <w:basedOn w:val="Heading2HTA"/>
    <w:link w:val="Heading3HTAChar"/>
    <w:qFormat/>
    <w:rsid w:val="00124302"/>
    <w:rPr>
      <w:i/>
      <w:iCs/>
      <w:sz w:val="24"/>
      <w:szCs w:val="24"/>
    </w:rPr>
  </w:style>
  <w:style w:type="character" w:customStyle="1" w:styleId="Heading2HTAChar">
    <w:name w:val="Heading 2 HTA Char"/>
    <w:basedOn w:val="BodytextHTAChar"/>
    <w:link w:val="Heading2HTA"/>
    <w:rsid w:val="00124302"/>
    <w:rPr>
      <w:rFonts w:ascii="Arial" w:eastAsia="Batang" w:hAnsi="Arial" w:cs="Arial"/>
      <w:b/>
      <w:bCs/>
      <w:color w:val="000000" w:themeColor="text1"/>
      <w:sz w:val="32"/>
      <w:szCs w:val="32"/>
    </w:rPr>
  </w:style>
  <w:style w:type="paragraph" w:customStyle="1" w:styleId="Heading4HTA">
    <w:name w:val="Heading 4 HTA"/>
    <w:basedOn w:val="Heading3HTA"/>
    <w:link w:val="Heading4HTAChar"/>
    <w:qFormat/>
    <w:rsid w:val="00124302"/>
    <w:rPr>
      <w:b w:val="0"/>
      <w:bCs w:val="0"/>
    </w:rPr>
  </w:style>
  <w:style w:type="character" w:customStyle="1" w:styleId="Heading3HTAChar">
    <w:name w:val="Heading 3 HTA Char"/>
    <w:basedOn w:val="Heading2HTAChar"/>
    <w:link w:val="Heading3HTA"/>
    <w:rsid w:val="00124302"/>
    <w:rPr>
      <w:rFonts w:ascii="Arial" w:eastAsia="Batang" w:hAnsi="Arial" w:cs="Arial"/>
      <w:b/>
      <w:bCs/>
      <w:i/>
      <w:iCs/>
      <w:color w:val="000000" w:themeColor="text1"/>
      <w:sz w:val="24"/>
      <w:szCs w:val="24"/>
    </w:rPr>
  </w:style>
  <w:style w:type="paragraph" w:customStyle="1" w:styleId="Heading5HTA">
    <w:name w:val="Heading 5 HTA"/>
    <w:basedOn w:val="Heading4HTA"/>
    <w:link w:val="Heading5HTAChar"/>
    <w:qFormat/>
    <w:rsid w:val="00124302"/>
    <w:rPr>
      <w:i w:val="0"/>
      <w:iCs w:val="0"/>
      <w:color w:val="4E1965" w:themeColor="text2"/>
    </w:rPr>
  </w:style>
  <w:style w:type="character" w:customStyle="1" w:styleId="Heading4HTAChar">
    <w:name w:val="Heading 4 HTA Char"/>
    <w:basedOn w:val="Heading3HTAChar"/>
    <w:link w:val="Heading4HTA"/>
    <w:rsid w:val="00124302"/>
    <w:rPr>
      <w:rFonts w:ascii="Arial" w:eastAsia="Batang" w:hAnsi="Arial" w:cs="Arial"/>
      <w:b w:val="0"/>
      <w:bCs w:val="0"/>
      <w:i/>
      <w:iCs/>
      <w:color w:val="000000" w:themeColor="text1"/>
      <w:sz w:val="24"/>
      <w:szCs w:val="24"/>
    </w:rPr>
  </w:style>
  <w:style w:type="character" w:styleId="Emphasis">
    <w:name w:val="Emphasis"/>
    <w:basedOn w:val="DefaultParagraphFont"/>
    <w:uiPriority w:val="20"/>
    <w:rsid w:val="00E819ED"/>
    <w:rPr>
      <w:i/>
      <w:iCs/>
    </w:rPr>
  </w:style>
  <w:style w:type="character" w:customStyle="1" w:styleId="Heading5HTAChar">
    <w:name w:val="Heading 5 HTA Char"/>
    <w:basedOn w:val="Heading4HTAChar"/>
    <w:link w:val="Heading5HTA"/>
    <w:rsid w:val="00124302"/>
    <w:rPr>
      <w:rFonts w:ascii="Arial" w:eastAsia="Batang" w:hAnsi="Arial" w:cs="Arial"/>
      <w:b w:val="0"/>
      <w:bCs w:val="0"/>
      <w:i w:val="0"/>
      <w:iCs w:val="0"/>
      <w:color w:val="4E1965" w:themeColor="text2"/>
      <w:sz w:val="24"/>
      <w:szCs w:val="24"/>
    </w:rPr>
  </w:style>
  <w:style w:type="paragraph" w:styleId="NoSpacing">
    <w:name w:val="No Spacing"/>
    <w:uiPriority w:val="1"/>
    <w:rsid w:val="00E819ED"/>
    <w:pPr>
      <w:spacing w:after="0" w:line="240" w:lineRule="auto"/>
    </w:pPr>
  </w:style>
  <w:style w:type="paragraph" w:styleId="Title">
    <w:name w:val="Title"/>
    <w:basedOn w:val="Normal"/>
    <w:next w:val="Normal"/>
    <w:link w:val="TitleChar"/>
    <w:uiPriority w:val="10"/>
    <w:rsid w:val="00E819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9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E819E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819ED"/>
    <w:rPr>
      <w:rFonts w:eastAsiaTheme="minorEastAsia"/>
      <w:color w:val="5A5A5A" w:themeColor="text1" w:themeTint="A5"/>
      <w:spacing w:val="15"/>
    </w:rPr>
  </w:style>
  <w:style w:type="paragraph" w:styleId="Quote">
    <w:name w:val="Quote"/>
    <w:basedOn w:val="Normal"/>
    <w:next w:val="Normal"/>
    <w:link w:val="QuoteChar"/>
    <w:uiPriority w:val="29"/>
    <w:rsid w:val="00E819E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819ED"/>
    <w:rPr>
      <w:i/>
      <w:iCs/>
      <w:color w:val="404040" w:themeColor="text1" w:themeTint="BF"/>
    </w:rPr>
  </w:style>
  <w:style w:type="paragraph" w:customStyle="1" w:styleId="BodyboldHTA">
    <w:name w:val="Body bold HTA"/>
    <w:basedOn w:val="Heading1HTA"/>
    <w:link w:val="BodyboldHTAChar"/>
    <w:qFormat/>
    <w:rsid w:val="00124302"/>
    <w:pPr>
      <w:spacing w:before="0"/>
    </w:pPr>
    <w:rPr>
      <w:sz w:val="24"/>
      <w:szCs w:val="24"/>
    </w:rPr>
  </w:style>
  <w:style w:type="character" w:customStyle="1" w:styleId="BodyboldHTAChar">
    <w:name w:val="Body bold HTA Char"/>
    <w:basedOn w:val="Heading1HTAChar"/>
    <w:link w:val="BodyboldHTA"/>
    <w:rsid w:val="00124302"/>
    <w:rPr>
      <w:rFonts w:ascii="Arial" w:eastAsia="Batang" w:hAnsi="Arial" w:cs="Arial"/>
      <w:b/>
      <w:bCs/>
      <w:color w:val="000000" w:themeColor="text1"/>
      <w:sz w:val="24"/>
      <w:szCs w:val="24"/>
    </w:rPr>
  </w:style>
  <w:style w:type="paragraph" w:customStyle="1" w:styleId="BulletedlistHTA">
    <w:name w:val="Bulleted list HTA"/>
    <w:basedOn w:val="BodyboldHTA"/>
    <w:link w:val="BulletedlistHTAChar"/>
    <w:qFormat/>
    <w:rsid w:val="00124302"/>
    <w:pPr>
      <w:numPr>
        <w:numId w:val="1"/>
      </w:numPr>
      <w:ind w:left="714" w:hanging="357"/>
    </w:pPr>
    <w:rPr>
      <w:b w:val="0"/>
      <w:bCs w:val="0"/>
    </w:rPr>
  </w:style>
  <w:style w:type="paragraph" w:customStyle="1" w:styleId="NumberedlistHTA">
    <w:name w:val="Numbered list HTA"/>
    <w:basedOn w:val="BulletedlistHTA"/>
    <w:link w:val="NumberedlistHTAChar"/>
    <w:qFormat/>
    <w:rsid w:val="00124302"/>
    <w:pPr>
      <w:numPr>
        <w:numId w:val="2"/>
      </w:numPr>
      <w:ind w:left="714" w:hanging="357"/>
    </w:pPr>
  </w:style>
  <w:style w:type="character" w:customStyle="1" w:styleId="BulletedlistHTAChar">
    <w:name w:val="Bulleted list HTA Char"/>
    <w:basedOn w:val="BodyboldHTAChar"/>
    <w:link w:val="BulletedlistHTA"/>
    <w:rsid w:val="00124302"/>
    <w:rPr>
      <w:rFonts w:ascii="Arial" w:eastAsia="Batang" w:hAnsi="Arial" w:cs="Arial"/>
      <w:b w:val="0"/>
      <w:bCs w:val="0"/>
      <w:color w:val="000000" w:themeColor="text1"/>
      <w:sz w:val="24"/>
      <w:szCs w:val="24"/>
    </w:rPr>
  </w:style>
  <w:style w:type="character" w:customStyle="1" w:styleId="NumberedlistHTAChar">
    <w:name w:val="Numbered list HTA Char"/>
    <w:basedOn w:val="BulletedlistHTAChar"/>
    <w:link w:val="NumberedlistHTA"/>
    <w:rsid w:val="00124302"/>
    <w:rPr>
      <w:rFonts w:ascii="Arial" w:eastAsia="Batang" w:hAnsi="Arial" w:cs="Arial"/>
      <w:b w:val="0"/>
      <w:bCs w:val="0"/>
      <w:color w:val="000000" w:themeColor="text1"/>
      <w:sz w:val="24"/>
      <w:szCs w:val="24"/>
    </w:rPr>
  </w:style>
  <w:style w:type="paragraph" w:customStyle="1" w:styleId="Subheading">
    <w:name w:val="Subheading"/>
    <w:basedOn w:val="ListParagraph"/>
    <w:qFormat/>
    <w:rsid w:val="007F38C5"/>
    <w:pPr>
      <w:ind w:left="0"/>
    </w:pPr>
    <w:rPr>
      <w:b/>
      <w:sz w:val="32"/>
    </w:rPr>
  </w:style>
  <w:style w:type="paragraph" w:styleId="ListParagraph">
    <w:name w:val="List Paragraph"/>
    <w:basedOn w:val="Normal"/>
    <w:uiPriority w:val="34"/>
    <w:qFormat/>
    <w:rsid w:val="007F38C5"/>
    <w:pPr>
      <w:spacing w:before="0" w:after="0" w:line="240" w:lineRule="auto"/>
      <w:ind w:left="720"/>
      <w:contextualSpacing/>
    </w:pPr>
    <w:rPr>
      <w:rFonts w:ascii="Arial"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TA brand colours">
      <a:dk1>
        <a:sysClr val="windowText" lastClr="000000"/>
      </a:dk1>
      <a:lt1>
        <a:sysClr val="window" lastClr="FFFFFF"/>
      </a:lt1>
      <a:dk2>
        <a:srgbClr val="4E1965"/>
      </a:dk2>
      <a:lt2>
        <a:srgbClr val="E7EAF4"/>
      </a:lt2>
      <a:accent1>
        <a:srgbClr val="8DB9CA"/>
      </a:accent1>
      <a:accent2>
        <a:srgbClr val="65AB65"/>
      </a:accent2>
      <a:accent3>
        <a:srgbClr val="F5A374"/>
      </a:accent3>
      <a:accent4>
        <a:srgbClr val="9A3668"/>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a565c07-dda8-49d0-af77-97162e211c3a">AD75TJCKWPSD-572021580-13608</_dlc_DocId>
    <_dlc_DocIdUrl xmlns="da565c07-dda8-49d0-af77-97162e211c3a">
      <Url>https://htagovuk.sharepoint.com/sites/edrms/org/_layouts/15/DocIdRedir.aspx?ID=AD75TJCKWPSD-572021580-13608</Url>
      <Description>AD75TJCKWPSD-572021580-13608</Description>
    </_dlc_DocIdUrl>
    <_dlc_DocIdPersistId xmlns="da565c07-dda8-49d0-af77-97162e211c3a">false</_dlc_DocIdPersistId>
    <Retention_x0020_Date xmlns="27cc7a59-7d4d-438a-960d-763c404d23bf" xsi:nil="true"/>
    <TaxCatchAll xmlns="da565c07-dda8-49d0-af77-97162e211c3a" xsi:nil="true"/>
    <Review_x0020_Date xmlns="27cc7a59-7d4d-438a-960d-763c404d23bf" xsi:nil="true"/>
    <lcf76f155ced4ddcb4097134ff3c332f xmlns="27cc7a59-7d4d-438a-960d-763c404d23b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 Select Type -" ma:contentTypeID="0x01010070FA452D68FE2C4C857151ED38B1EED91E000A6A01143820E942B82CDADBFDDCA8CF" ma:contentTypeVersion="41" ma:contentTypeDescription="Create a new document." ma:contentTypeScope="" ma:versionID="35998d354ff5154fc739e4095bf50bf4">
  <xsd:schema xmlns:xsd="http://www.w3.org/2001/XMLSchema" xmlns:xs="http://www.w3.org/2001/XMLSchema" xmlns:p="http://schemas.microsoft.com/office/2006/metadata/properties" xmlns:ns2="27cc7a59-7d4d-438a-960d-763c404d23bf" xmlns:ns3="da565c07-dda8-49d0-af77-97162e211c3a" xmlns:ns4="b1ab2ed5-b68f-4f42-94c1-eae949e68ee2" targetNamespace="http://schemas.microsoft.com/office/2006/metadata/properties" ma:root="true" ma:fieldsID="30b7c499507cbeb5e726cb9c620a1325" ns2:_="" ns3:_="" ns4:_="">
    <xsd:import namespace="27cc7a59-7d4d-438a-960d-763c404d23bf"/>
    <xsd:import namespace="da565c07-dda8-49d0-af77-97162e211c3a"/>
    <xsd:import namespace="b1ab2ed5-b68f-4f42-94c1-eae949e68ee2"/>
    <xsd:element name="properties">
      <xsd:complexType>
        <xsd:sequence>
          <xsd:element name="documentManagement">
            <xsd:complexType>
              <xsd:all>
                <xsd:element ref="ns2:Retention_x0020_Date" minOccurs="0"/>
                <xsd:element ref="ns2:Review_x0020_Date" minOccurs="0"/>
                <xsd:element ref="ns3:_dlc_DocId" minOccurs="0"/>
                <xsd:element ref="ns3:_dlc_DocIdUrl" minOccurs="0"/>
                <xsd:element ref="ns3:_dlc_DocIdPersistI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c7a59-7d4d-438a-960d-763c404d23bf" elementFormDefault="qualified">
    <xsd:import namespace="http://schemas.microsoft.com/office/2006/documentManagement/types"/>
    <xsd:import namespace="http://schemas.microsoft.com/office/infopath/2007/PartnerControls"/>
    <xsd:element name="Retention_x0020_Date" ma:index="8" nillable="true" ma:displayName="Retention Date" ma:format="DateOnly" ma:indexed="true" ma:internalName="Retention_x0020_Date" ma:readOnly="false">
      <xsd:simpleType>
        <xsd:restriction base="dms:DateTime"/>
      </xsd:simpleType>
    </xsd:element>
    <xsd:element name="Review_x0020_Date" ma:index="9" nillable="true" ma:displayName="Review Date" ma:format="DateOnly" ma:indexed="true" ma:internalName="Review_x0020_Date" ma:readOnly="false">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b9d83e5-28f1-42da-8295-12c74e181b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b4c0c78b-c6d0-4b1a-87e0-48bd1bc7d029}" ma:internalName="TaxCatchAll" ma:showField="CatchAllData" ma:web="da565c07-dda8-49d0-af77-97162e211c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ab2ed5-b68f-4f42-94c1-eae949e68e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7CDAE7-0062-472C-9660-92422508A5E0}">
  <ds:schemaRefs>
    <ds:schemaRef ds:uri="da565c07-dda8-49d0-af77-97162e211c3a"/>
    <ds:schemaRef ds:uri="b1ab2ed5-b68f-4f42-94c1-eae949e68ee2"/>
    <ds:schemaRef ds:uri="http://schemas.microsoft.com/office/infopath/2007/PartnerControls"/>
    <ds:schemaRef ds:uri="http://purl.org/dc/dcmitype/"/>
    <ds:schemaRef ds:uri="http://purl.org/dc/elements/1.1/"/>
    <ds:schemaRef ds:uri="http://purl.org/dc/terms/"/>
    <ds:schemaRef ds:uri="27cc7a59-7d4d-438a-960d-763c404d23bf"/>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F3CFAD6-D22A-4472-8693-A7FCCA4B360D}">
  <ds:schemaRefs>
    <ds:schemaRef ds:uri="http://schemas.openxmlformats.org/officeDocument/2006/bibliography"/>
  </ds:schemaRefs>
</ds:datastoreItem>
</file>

<file path=customXml/itemProps3.xml><?xml version="1.0" encoding="utf-8"?>
<ds:datastoreItem xmlns:ds="http://schemas.openxmlformats.org/officeDocument/2006/customXml" ds:itemID="{12A72651-34AD-40BC-8473-6BA9B1280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c7a59-7d4d-438a-960d-763c404d23bf"/>
    <ds:schemaRef ds:uri="da565c07-dda8-49d0-af77-97162e211c3a"/>
    <ds:schemaRef ds:uri="b1ab2ed5-b68f-4f42-94c1-eae949e68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809EDB-0345-4AF7-BAAE-ACE6401AE791}">
  <ds:schemaRefs>
    <ds:schemaRef ds:uri="http://schemas.microsoft.com/sharepoint/events"/>
  </ds:schemaRefs>
</ds:datastoreItem>
</file>

<file path=customXml/itemProps5.xml><?xml version="1.0" encoding="utf-8"?>
<ds:datastoreItem xmlns:ds="http://schemas.openxmlformats.org/officeDocument/2006/customXml" ds:itemID="{FFFEC2B6-87C1-49D2-A1BD-6263C1E928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Smith</dc:creator>
  <cp:keywords/>
  <dc:description/>
  <cp:lastModifiedBy>Jonathan Spencer</cp:lastModifiedBy>
  <cp:revision>2</cp:revision>
  <dcterms:created xsi:type="dcterms:W3CDTF">2023-06-23T08:50:00Z</dcterms:created>
  <dcterms:modified xsi:type="dcterms:W3CDTF">2023-06-23T08:50:00Z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0x01010070FA452D68FE2C4C857151ED38B1EED91E000A6A01143820E942B82CDADBFDDCA8CF</vt:lpwstr>
  </property>
  <property fmtid="{D5CDD505-2E9C-101B-9397-08002B2CF9AE}" pid="3" name="_dlc_DocIdItemGuid">
    <vt:lpwstr>43127ba8-f855-435b-a6fd-7898e5a0f20f</vt:lpwstr>
  </property>
  <property fmtid="{D5CDD505-2E9C-101B-9397-08002B2CF9AE}" pid="4" name="Order">
    <vt:r8>3608300</vt:r8>
  </property>
  <property fmtid="{D5CDD505-2E9C-101B-9397-08002B2CF9AE}" pid="5" name="URL">
    <vt:lpwstr>,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