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16F98" w14:textId="77777777" w:rsidR="00F254F4" w:rsidRDefault="00E13E93" w:rsidP="009D695C">
      <w:pPr>
        <w:pStyle w:val="BodytextHTA"/>
        <w:spacing w:after="0" w:line="240" w:lineRule="auto"/>
        <w:rPr>
          <w:b/>
          <w:bCs/>
          <w:color w:val="4E1965" w:themeColor="text2"/>
          <w:sz w:val="40"/>
          <w:szCs w:val="40"/>
        </w:rPr>
      </w:pPr>
      <w:r>
        <w:rPr>
          <w:b/>
          <w:bCs/>
          <w:color w:val="4E1965" w:themeColor="text2"/>
          <w:sz w:val="40"/>
          <w:szCs w:val="40"/>
        </w:rPr>
        <w:t xml:space="preserve">Human Tissue Authority </w:t>
      </w:r>
    </w:p>
    <w:p w14:paraId="17748E8F" w14:textId="01AC24E6" w:rsidR="006D0173" w:rsidRDefault="007F1657" w:rsidP="006D0173">
      <w:pPr>
        <w:pStyle w:val="BodytextHTA"/>
        <w:spacing w:after="0" w:line="240" w:lineRule="auto"/>
        <w:rPr>
          <w:b/>
          <w:bCs/>
          <w:color w:val="4E1965" w:themeColor="text2"/>
          <w:sz w:val="40"/>
          <w:szCs w:val="40"/>
        </w:rPr>
      </w:pPr>
      <w:r>
        <w:rPr>
          <w:b/>
          <w:bCs/>
          <w:color w:val="4E1965" w:themeColor="text2"/>
          <w:sz w:val="40"/>
          <w:szCs w:val="40"/>
        </w:rPr>
        <w:t>Board Meeting Conducted in Public</w:t>
      </w:r>
    </w:p>
    <w:p w14:paraId="5A86806B" w14:textId="39E9D2E8" w:rsidR="00DB4FC4" w:rsidRDefault="008421E2" w:rsidP="00D831F7">
      <w:pPr>
        <w:pStyle w:val="BodytextHTA"/>
        <w:tabs>
          <w:tab w:val="left" w:pos="2410"/>
        </w:tabs>
        <w:rPr>
          <w:rStyle w:val="BodyboldHTAChar"/>
        </w:rPr>
      </w:pPr>
      <w:r>
        <w:rPr>
          <w:b/>
          <w:bCs/>
          <w:noProof/>
        </w:rPr>
        <mc:AlternateContent>
          <mc:Choice Requires="wps">
            <w:drawing>
              <wp:anchor distT="0" distB="0" distL="114300" distR="114300" simplePos="0" relativeHeight="251658242" behindDoc="0" locked="0" layoutInCell="1" allowOverlap="1" wp14:anchorId="7C12043C" wp14:editId="368541EA">
                <wp:simplePos x="0" y="0"/>
                <wp:positionH relativeFrom="margin">
                  <wp:align>left</wp:align>
                </wp:positionH>
                <wp:positionV relativeFrom="paragraph">
                  <wp:posOffset>114066</wp:posOffset>
                </wp:positionV>
                <wp:extent cx="6040016" cy="30622"/>
                <wp:effectExtent l="0" t="0" r="37465" b="2667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040016" cy="3062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F6E33D" id="Straight Connector 8" o:spid="_x0000_s1026" alt="&quot;&quot;" style="position:absolute;flip:y;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75.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" strokecolor="black [3213]" strokeweight=".5pt">
                <v:stroke joinstyle="miter"/>
                <w10:wrap anchorx="margin"/>
              </v:line>
            </w:pict>
          </mc:Fallback>
        </mc:AlternateContent>
      </w:r>
    </w:p>
    <w:p w14:paraId="2E3A5888" w14:textId="60021660" w:rsidR="00E13E93" w:rsidRPr="00DB4FC4" w:rsidRDefault="00E13E93" w:rsidP="00D831F7">
      <w:pPr>
        <w:pStyle w:val="BodytextHTA"/>
        <w:tabs>
          <w:tab w:val="left" w:pos="2410"/>
        </w:tabs>
        <w:rPr>
          <w:lang w:val="pt-PT"/>
        </w:rPr>
      </w:pPr>
      <w:proofErr w:type="spellStart"/>
      <w:r w:rsidRPr="005417B8">
        <w:rPr>
          <w:rStyle w:val="BodyboldHTAChar"/>
          <w:lang w:val="pt-PT"/>
        </w:rPr>
        <w:t>Paper</w:t>
      </w:r>
      <w:proofErr w:type="spellEnd"/>
      <w:r w:rsidRPr="005417B8">
        <w:rPr>
          <w:rStyle w:val="BodyboldHTAChar"/>
          <w:lang w:val="pt-PT"/>
        </w:rPr>
        <w:t xml:space="preserve"> </w:t>
      </w:r>
      <w:proofErr w:type="spellStart"/>
      <w:r w:rsidRPr="005417B8">
        <w:rPr>
          <w:rStyle w:val="BodyboldHTAChar"/>
          <w:lang w:val="pt-PT"/>
        </w:rPr>
        <w:t>reference</w:t>
      </w:r>
      <w:proofErr w:type="spellEnd"/>
      <w:r w:rsidRPr="005417B8">
        <w:rPr>
          <w:rStyle w:val="BodyboldHTAChar"/>
          <w:lang w:val="pt-PT"/>
        </w:rPr>
        <w:t>:</w:t>
      </w:r>
      <w:r w:rsidRPr="00DB4FC4">
        <w:rPr>
          <w:lang w:val="pt-PT"/>
        </w:rPr>
        <w:tab/>
      </w:r>
      <w:r w:rsidR="009B7E70" w:rsidRPr="00DB4FC4">
        <w:rPr>
          <w:lang w:val="pt-PT"/>
        </w:rPr>
        <w:t xml:space="preserve">HTA </w:t>
      </w:r>
      <w:r w:rsidR="00345D28" w:rsidRPr="00DB4FC4">
        <w:rPr>
          <w:lang w:val="pt-PT"/>
        </w:rPr>
        <w:t>12</w:t>
      </w:r>
      <w:r w:rsidR="009B7E70" w:rsidRPr="00DB4FC4">
        <w:rPr>
          <w:lang w:val="pt-PT"/>
        </w:rPr>
        <w:t>/2</w:t>
      </w:r>
      <w:r w:rsidR="00E414DE" w:rsidRPr="00DB4FC4">
        <w:rPr>
          <w:lang w:val="pt-PT"/>
        </w:rPr>
        <w:t>3</w:t>
      </w:r>
    </w:p>
    <w:p w14:paraId="0F632C0E" w14:textId="3E766B68" w:rsidR="00E13E93" w:rsidRPr="00DB4FC4" w:rsidRDefault="00E13E93" w:rsidP="00D831F7">
      <w:pPr>
        <w:pStyle w:val="BodytextHTA"/>
        <w:tabs>
          <w:tab w:val="left" w:pos="2410"/>
        </w:tabs>
        <w:rPr>
          <w:lang w:val="pt-PT"/>
        </w:rPr>
      </w:pPr>
      <w:r w:rsidRPr="00DB4FC4">
        <w:rPr>
          <w:rStyle w:val="BodyboldHTAChar"/>
          <w:lang w:val="pt-PT"/>
        </w:rPr>
        <w:t>Agenda item:</w:t>
      </w:r>
      <w:r w:rsidRPr="00DB4FC4">
        <w:rPr>
          <w:lang w:val="pt-PT"/>
        </w:rPr>
        <w:tab/>
      </w:r>
      <w:r w:rsidR="00345D28" w:rsidRPr="00DB4FC4">
        <w:rPr>
          <w:lang w:val="pt-PT"/>
        </w:rPr>
        <w:t>5</w:t>
      </w:r>
    </w:p>
    <w:p w14:paraId="21B089F0" w14:textId="17ABE0AA" w:rsidR="000475E4" w:rsidRPr="00345D28" w:rsidRDefault="00E13E93" w:rsidP="00345D28">
      <w:pPr>
        <w:pStyle w:val="BodytextHTA"/>
        <w:tabs>
          <w:tab w:val="left" w:pos="2410"/>
        </w:tabs>
        <w:rPr>
          <w:rStyle w:val="BodyboldHTAChar"/>
          <w:b w:val="0"/>
          <w:bCs w:val="0"/>
        </w:rPr>
      </w:pPr>
      <w:r w:rsidRPr="004B79F9">
        <w:rPr>
          <w:rStyle w:val="BodyboldHTAChar"/>
        </w:rPr>
        <w:t>Author:</w:t>
      </w:r>
      <w:r>
        <w:tab/>
      </w:r>
      <w:r w:rsidR="00612ED5">
        <w:t xml:space="preserve">CEO and </w:t>
      </w:r>
      <w:r w:rsidR="002C3B25">
        <w:t xml:space="preserve">Senior Management Team </w:t>
      </w:r>
    </w:p>
    <w:p w14:paraId="1775605E" w14:textId="4379A13F" w:rsidR="00E13E93" w:rsidRPr="005F2A8B" w:rsidRDefault="00AD2C44" w:rsidP="00E13E93">
      <w:pPr>
        <w:pStyle w:val="BodytextHTA"/>
      </w:pPr>
      <w:r w:rsidRPr="00BB6126">
        <w:rPr>
          <w:b/>
          <w:bCs/>
          <w:noProof/>
          <w:color w:val="auto"/>
        </w:rPr>
        <mc:AlternateContent>
          <mc:Choice Requires="wps">
            <w:drawing>
              <wp:anchor distT="0" distB="0" distL="114300" distR="114300" simplePos="0" relativeHeight="251658241" behindDoc="0" locked="0" layoutInCell="1" allowOverlap="1" wp14:anchorId="5541AC9F" wp14:editId="313E727E">
                <wp:simplePos x="0" y="0"/>
                <wp:positionH relativeFrom="margin">
                  <wp:posOffset>0</wp:posOffset>
                </wp:positionH>
                <wp:positionV relativeFrom="paragraph">
                  <wp:posOffset>71755</wp:posOffset>
                </wp:positionV>
                <wp:extent cx="598170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1700" cy="0"/>
                        </a:xfrm>
                        <a:prstGeom prst="line">
                          <a:avLst/>
                        </a:prstGeom>
                        <a:ln w="127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69B0A5" id="Straight Connector 5" o:spid="_x0000_s1026" alt="&quot;&quot;" style="position:absolute;z-index:251658241;visibility:visible;mso-wrap-style:square;mso-wrap-distance-left:9pt;mso-wrap-distance-top:0;mso-wrap-distance-right:9pt;mso-wrap-distance-bottom:0;mso-position-horizontal:absolute;mso-position-horizontal-relative:margin;mso-position-vertical:absolute;mso-position-vertical-relative:text" from="0,5.65pt" to="47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" strokecolor="black [3213]" strokeweight="1pt">
                <v:stroke joinstyle="miter"/>
                <w10:wrap anchorx="margin"/>
              </v:line>
            </w:pict>
          </mc:Fallback>
        </mc:AlternateContent>
      </w:r>
    </w:p>
    <w:p w14:paraId="0CFEBAB6" w14:textId="07E0F7DA" w:rsidR="00E13E93" w:rsidRPr="004B79F9" w:rsidRDefault="0004444E" w:rsidP="00E13E93">
      <w:pPr>
        <w:pStyle w:val="Heading1HTA"/>
      </w:pPr>
      <w:r>
        <w:t xml:space="preserve">HTA Performance Report </w:t>
      </w:r>
    </w:p>
    <w:p w14:paraId="234D9350" w14:textId="77777777" w:rsidR="00E13E93" w:rsidRPr="00A76E0D" w:rsidRDefault="00E13E93" w:rsidP="00E13E93">
      <w:pPr>
        <w:pStyle w:val="Heading2HTA"/>
      </w:pPr>
      <w:r>
        <w:t>Purpose of paper</w:t>
      </w:r>
    </w:p>
    <w:p w14:paraId="17061D0A" w14:textId="4B8180C3" w:rsidR="00A1341E" w:rsidRDefault="7AB8BCC7" w:rsidP="00B4172E">
      <w:pPr>
        <w:pStyle w:val="NumberedlistHTA"/>
        <w:spacing w:after="0" w:line="320" w:lineRule="exact"/>
        <w:ind w:left="426" w:hanging="426"/>
      </w:pPr>
      <w:r>
        <w:t xml:space="preserve">This paper </w:t>
      </w:r>
      <w:r w:rsidR="00A1341E">
        <w:t>inform</w:t>
      </w:r>
      <w:r w:rsidR="21255020">
        <w:t>s</w:t>
      </w:r>
      <w:r w:rsidR="00A1341E" w:rsidRPr="23CF5629">
        <w:t xml:space="preserve"> the Board of </w:t>
      </w:r>
      <w:r w:rsidR="00A1341E">
        <w:t xml:space="preserve">the </w:t>
      </w:r>
      <w:r w:rsidR="00A1341E" w:rsidRPr="23CF5629">
        <w:t>HTA’s performance in Q</w:t>
      </w:r>
      <w:r w:rsidR="00632A4D">
        <w:t xml:space="preserve">uarter </w:t>
      </w:r>
      <w:r w:rsidR="001F1987">
        <w:t>4</w:t>
      </w:r>
      <w:r w:rsidR="00A1341E" w:rsidRPr="23CF5629">
        <w:t xml:space="preserve"> </w:t>
      </w:r>
      <w:r w:rsidR="00CB77A2">
        <w:t>(</w:t>
      </w:r>
      <w:r w:rsidR="00A1341E">
        <w:t>Q</w:t>
      </w:r>
      <w:r w:rsidR="001F1987">
        <w:t>4</w:t>
      </w:r>
      <w:r w:rsidR="00CB77A2">
        <w:t>)</w:t>
      </w:r>
      <w:r w:rsidR="00A1341E">
        <w:t xml:space="preserve"> </w:t>
      </w:r>
      <w:r w:rsidR="00A1341E" w:rsidRPr="23CF5629">
        <w:t>against our objectives and operational delivery targets</w:t>
      </w:r>
      <w:r w:rsidR="002952D0">
        <w:t xml:space="preserve"> </w:t>
      </w:r>
      <w:bookmarkStart w:id="0" w:name="_Int_5Y1dQ7x5"/>
      <w:r w:rsidR="002952D0">
        <w:t xml:space="preserve">and </w:t>
      </w:r>
      <w:r w:rsidR="0ADD8BB3">
        <w:t>also</w:t>
      </w:r>
      <w:bookmarkEnd w:id="0"/>
      <w:r w:rsidR="0ADD8BB3">
        <w:t xml:space="preserve"> </w:t>
      </w:r>
      <w:r w:rsidR="49A6013E">
        <w:t xml:space="preserve">provides </w:t>
      </w:r>
      <w:r w:rsidR="2DED3B7C">
        <w:t xml:space="preserve">cumulative </w:t>
      </w:r>
      <w:r w:rsidR="1C8D54CF">
        <w:t>overall performance against targets for the year, 2022/23.</w:t>
      </w:r>
    </w:p>
    <w:p w14:paraId="729316B0" w14:textId="77777777" w:rsidR="000837C0" w:rsidRPr="00A76E0D" w:rsidRDefault="000837C0" w:rsidP="00B4172E">
      <w:pPr>
        <w:pStyle w:val="NumberedlistHTA"/>
        <w:numPr>
          <w:ilvl w:val="0"/>
          <w:numId w:val="0"/>
        </w:numPr>
        <w:spacing w:after="0" w:line="320" w:lineRule="exact"/>
        <w:ind w:left="426" w:hanging="426"/>
      </w:pPr>
    </w:p>
    <w:p w14:paraId="06D8A8D1" w14:textId="7054064F" w:rsidR="00A1341E" w:rsidRDefault="1C8D54CF" w:rsidP="00B4172E">
      <w:pPr>
        <w:pStyle w:val="NumberedlistHTA"/>
        <w:spacing w:after="0" w:line="320" w:lineRule="exact"/>
        <w:ind w:left="426" w:hanging="426"/>
      </w:pPr>
      <w:r>
        <w:t>In addition, it provides</w:t>
      </w:r>
      <w:r w:rsidR="00740549">
        <w:t xml:space="preserve"> </w:t>
      </w:r>
      <w:r w:rsidR="00CD1F50">
        <w:t xml:space="preserve">an </w:t>
      </w:r>
      <w:r>
        <w:t xml:space="preserve">early </w:t>
      </w:r>
      <w:r w:rsidR="00CD1F50">
        <w:t xml:space="preserve">indication of the </w:t>
      </w:r>
      <w:r>
        <w:t xml:space="preserve">initial performance against the new performance indicators for </w:t>
      </w:r>
      <w:r w:rsidR="03E50D43">
        <w:t xml:space="preserve">2023/24. </w:t>
      </w:r>
    </w:p>
    <w:p w14:paraId="35E19FBA" w14:textId="77777777" w:rsidR="00503396" w:rsidRPr="00A76E0D" w:rsidRDefault="00503396" w:rsidP="00503396">
      <w:pPr>
        <w:pStyle w:val="NumberedlistHTA"/>
        <w:numPr>
          <w:ilvl w:val="0"/>
          <w:numId w:val="0"/>
        </w:numPr>
        <w:spacing w:after="0" w:line="320" w:lineRule="exact"/>
      </w:pPr>
    </w:p>
    <w:p w14:paraId="6CD502DC" w14:textId="77777777" w:rsidR="00E13E93" w:rsidRDefault="00E13E93" w:rsidP="00B4172E">
      <w:pPr>
        <w:pStyle w:val="Heading2HTA"/>
        <w:spacing w:before="0" w:after="0" w:line="320" w:lineRule="exact"/>
        <w:ind w:left="426" w:hanging="426"/>
      </w:pPr>
      <w:r>
        <w:t>Action required</w:t>
      </w:r>
    </w:p>
    <w:p w14:paraId="22C0832D" w14:textId="77777777" w:rsidR="00503396" w:rsidRPr="00A76E0D" w:rsidRDefault="00503396" w:rsidP="00B4172E">
      <w:pPr>
        <w:pStyle w:val="Heading2HTA"/>
        <w:spacing w:before="0" w:after="0" w:line="320" w:lineRule="exact"/>
        <w:ind w:left="426" w:hanging="426"/>
      </w:pPr>
    </w:p>
    <w:p w14:paraId="0BD82061" w14:textId="54092E0D" w:rsidR="000837C0" w:rsidRPr="000837C0" w:rsidRDefault="00A719A0" w:rsidP="00B4172E">
      <w:pPr>
        <w:pStyle w:val="NumberedlistHTA"/>
        <w:spacing w:after="0" w:line="320" w:lineRule="exact"/>
        <w:ind w:left="426" w:hanging="426"/>
      </w:pPr>
      <w:r w:rsidRPr="23CF5629">
        <w:rPr>
          <w:rFonts w:eastAsia="Arial"/>
        </w:rPr>
        <w:t>The HTA Board is asked to note and comment on the performance recorded and the context provided</w:t>
      </w:r>
      <w:r>
        <w:rPr>
          <w:rFonts w:eastAsia="Arial"/>
        </w:rPr>
        <w:t>.</w:t>
      </w:r>
    </w:p>
    <w:p w14:paraId="350CCA76" w14:textId="77777777" w:rsidR="000837C0" w:rsidRPr="00A76E0D" w:rsidRDefault="000837C0" w:rsidP="00B4172E">
      <w:pPr>
        <w:pStyle w:val="NumberedlistHTA"/>
        <w:numPr>
          <w:ilvl w:val="0"/>
          <w:numId w:val="0"/>
        </w:numPr>
        <w:spacing w:after="0" w:line="320" w:lineRule="exact"/>
        <w:ind w:left="426" w:hanging="426"/>
      </w:pPr>
    </w:p>
    <w:p w14:paraId="5EBC46D1" w14:textId="3FCE17BC" w:rsidR="005746E9" w:rsidRPr="005746E9" w:rsidRDefault="005746E9" w:rsidP="00B4172E">
      <w:pPr>
        <w:pStyle w:val="Heading2HTA"/>
        <w:spacing w:before="0" w:after="0" w:line="320" w:lineRule="exact"/>
        <w:ind w:left="426" w:hanging="426"/>
        <w:rPr>
          <w:sz w:val="28"/>
          <w:szCs w:val="28"/>
        </w:rPr>
      </w:pPr>
      <w:r w:rsidRPr="005746E9">
        <w:rPr>
          <w:sz w:val="28"/>
          <w:szCs w:val="28"/>
        </w:rPr>
        <w:t xml:space="preserve">Regulation </w:t>
      </w:r>
    </w:p>
    <w:p w14:paraId="5FB14FE2" w14:textId="758BE6DE" w:rsidR="00FB42F0" w:rsidRDefault="009D3551" w:rsidP="00B4172E">
      <w:pPr>
        <w:pStyle w:val="NumberedlistHTA"/>
        <w:spacing w:after="0" w:line="320" w:lineRule="exact"/>
        <w:ind w:left="426" w:hanging="426"/>
      </w:pPr>
      <w:r w:rsidRPr="00830A20">
        <w:rPr>
          <w:b/>
        </w:rPr>
        <w:t>Annex A</w:t>
      </w:r>
      <w:r>
        <w:t xml:space="preserve"> </w:t>
      </w:r>
      <w:r w:rsidR="00571438">
        <w:t xml:space="preserve">provides </w:t>
      </w:r>
      <w:r w:rsidR="0031106C">
        <w:t>a</w:t>
      </w:r>
      <w:r w:rsidR="00571438">
        <w:t xml:space="preserve"> summary of</w:t>
      </w:r>
      <w:r w:rsidR="00517B8E">
        <w:t xml:space="preserve"> </w:t>
      </w:r>
      <w:r w:rsidR="0001631D">
        <w:t xml:space="preserve">the </w:t>
      </w:r>
      <w:r w:rsidR="00517B8E">
        <w:t xml:space="preserve">Key Performance Indicators </w:t>
      </w:r>
      <w:r w:rsidR="00EF151E">
        <w:t xml:space="preserve">(KPIs) </w:t>
      </w:r>
      <w:r w:rsidR="0031106C">
        <w:t>and two</w:t>
      </w:r>
      <w:r w:rsidR="0070381C">
        <w:t xml:space="preserve"> </w:t>
      </w:r>
      <w:r w:rsidR="00517B8E">
        <w:t xml:space="preserve">Performance Indicators </w:t>
      </w:r>
      <w:r w:rsidR="00EF151E">
        <w:t xml:space="preserve">(PIs) </w:t>
      </w:r>
      <w:r w:rsidR="00221EF1">
        <w:t xml:space="preserve">for </w:t>
      </w:r>
      <w:r w:rsidR="00E63A8F">
        <w:t xml:space="preserve">Quarter 4 of </w:t>
      </w:r>
      <w:r w:rsidR="00221EF1">
        <w:t xml:space="preserve">2022/23, including the </w:t>
      </w:r>
      <w:r w:rsidR="00E63A8F">
        <w:t xml:space="preserve">year-end </w:t>
      </w:r>
      <w:r w:rsidR="00221EF1">
        <w:t>total</w:t>
      </w:r>
      <w:r w:rsidR="009B7922">
        <w:t>s</w:t>
      </w:r>
      <w:r w:rsidR="52F42BEF">
        <w:t>.</w:t>
      </w:r>
      <w:r w:rsidR="00226CE4">
        <w:t xml:space="preserve"> </w:t>
      </w:r>
      <w:r w:rsidR="000F3454">
        <w:t xml:space="preserve">Most </w:t>
      </w:r>
      <w:r w:rsidR="009B7922">
        <w:t xml:space="preserve">of these </w:t>
      </w:r>
      <w:r w:rsidR="00226CE4">
        <w:t xml:space="preserve">relate to </w:t>
      </w:r>
      <w:r w:rsidR="49DC4E7E">
        <w:t xml:space="preserve">the </w:t>
      </w:r>
      <w:r w:rsidR="00226CE4">
        <w:t>Regulation Directorate</w:t>
      </w:r>
      <w:r w:rsidR="00825CA4">
        <w:t xml:space="preserve"> but </w:t>
      </w:r>
      <w:r w:rsidR="0CF0A429">
        <w:t>E</w:t>
      </w:r>
      <w:r w:rsidR="000F3454">
        <w:t xml:space="preserve">nquiries and Freedom of Information Act </w:t>
      </w:r>
      <w:r w:rsidR="366594CF">
        <w:t xml:space="preserve">(FoI) </w:t>
      </w:r>
      <w:r w:rsidR="000F3454">
        <w:t>requests c</w:t>
      </w:r>
      <w:r w:rsidR="00825CA4">
        <w:t>an</w:t>
      </w:r>
      <w:r w:rsidR="000F3454">
        <w:t xml:space="preserve"> arise in any area of the business.</w:t>
      </w:r>
      <w:r w:rsidR="00E63A8F">
        <w:t xml:space="preserve"> </w:t>
      </w:r>
    </w:p>
    <w:p w14:paraId="4ADCA1C4" w14:textId="77777777" w:rsidR="000837C0" w:rsidRDefault="000837C0" w:rsidP="00B4172E">
      <w:pPr>
        <w:pStyle w:val="NumberedlistHTA"/>
        <w:numPr>
          <w:ilvl w:val="0"/>
          <w:numId w:val="0"/>
        </w:numPr>
        <w:spacing w:after="0" w:line="320" w:lineRule="exact"/>
        <w:ind w:left="426" w:hanging="426"/>
      </w:pPr>
    </w:p>
    <w:p w14:paraId="20746FC8" w14:textId="5ECA25CB" w:rsidR="00221ACE" w:rsidRDefault="394B61F4" w:rsidP="00B4172E">
      <w:pPr>
        <w:pStyle w:val="NumberedlistHTA"/>
        <w:spacing w:after="0" w:line="320" w:lineRule="exact"/>
        <w:ind w:left="426" w:hanging="426"/>
      </w:pPr>
      <w:r>
        <w:t xml:space="preserve">The </w:t>
      </w:r>
      <w:r w:rsidR="27C1F0D9">
        <w:t xml:space="preserve">headline KPI </w:t>
      </w:r>
      <w:r w:rsidR="44F9FA44">
        <w:t>for 2022/</w:t>
      </w:r>
      <w:r w:rsidR="72A1D38B">
        <w:t>2</w:t>
      </w:r>
      <w:r w:rsidR="38C91551">
        <w:t>3</w:t>
      </w:r>
      <w:r w:rsidR="44F9FA44">
        <w:t xml:space="preserve"> </w:t>
      </w:r>
      <w:r w:rsidR="4E2CCDB1">
        <w:t xml:space="preserve">of </w:t>
      </w:r>
      <w:r w:rsidR="68410BC6">
        <w:t xml:space="preserve">the </w:t>
      </w:r>
      <w:r w:rsidR="3204F03F">
        <w:t xml:space="preserve">significantly increased </w:t>
      </w:r>
      <w:r w:rsidR="528F34F1">
        <w:t>target</w:t>
      </w:r>
      <w:r w:rsidR="5031DB43">
        <w:t xml:space="preserve"> of 210</w:t>
      </w:r>
      <w:r w:rsidR="4E2CCDB1">
        <w:t xml:space="preserve"> </w:t>
      </w:r>
      <w:r w:rsidR="70484A83">
        <w:t xml:space="preserve">inspections </w:t>
      </w:r>
      <w:r w:rsidR="15DB45FB">
        <w:t>was</w:t>
      </w:r>
      <w:r>
        <w:t xml:space="preserve"> met</w:t>
      </w:r>
      <w:r w:rsidR="4782B998">
        <w:t>.</w:t>
      </w:r>
      <w:r w:rsidR="79D66679">
        <w:t xml:space="preserve"> </w:t>
      </w:r>
    </w:p>
    <w:p w14:paraId="794660A9" w14:textId="77777777" w:rsidR="000837C0" w:rsidRDefault="000837C0" w:rsidP="00B4172E">
      <w:pPr>
        <w:pStyle w:val="NumberedlistHTA"/>
        <w:numPr>
          <w:ilvl w:val="0"/>
          <w:numId w:val="0"/>
        </w:numPr>
        <w:spacing w:after="0" w:line="320" w:lineRule="exact"/>
        <w:ind w:left="426" w:hanging="426"/>
      </w:pPr>
    </w:p>
    <w:p w14:paraId="41CD8EE4" w14:textId="295C7AD4" w:rsidR="001479A6" w:rsidRDefault="253BC3A0" w:rsidP="00B4172E">
      <w:pPr>
        <w:pStyle w:val="NumberedlistHTA"/>
        <w:spacing w:after="0" w:line="320" w:lineRule="exact"/>
        <w:ind w:left="426" w:hanging="426"/>
      </w:pPr>
      <w:r>
        <w:t xml:space="preserve">The </w:t>
      </w:r>
      <w:r w:rsidR="6A26FF23">
        <w:t>measure of inspections changed from 2022/23 to exclude inspections on new licence applications.</w:t>
      </w:r>
      <w:r w:rsidR="4383FBAF">
        <w:t xml:space="preserve"> D</w:t>
      </w:r>
      <w:r w:rsidR="4050FF33">
        <w:t>eliver</w:t>
      </w:r>
      <w:r w:rsidR="4383FBAF">
        <w:t xml:space="preserve">ing </w:t>
      </w:r>
      <w:r>
        <w:t xml:space="preserve">253 </w:t>
      </w:r>
      <w:r w:rsidRPr="070E954E">
        <w:rPr>
          <w:rFonts w:asciiTheme="minorHAnsi" w:hAnsiTheme="minorHAnsi" w:cstheme="minorBidi"/>
        </w:rPr>
        <w:t xml:space="preserve">inspections </w:t>
      </w:r>
      <w:r w:rsidR="411F5C33" w:rsidRPr="070E954E">
        <w:rPr>
          <w:rFonts w:asciiTheme="minorHAnsi" w:hAnsiTheme="minorHAnsi" w:cstheme="minorBidi"/>
        </w:rPr>
        <w:t>in total</w:t>
      </w:r>
      <w:r w:rsidRPr="070E954E">
        <w:rPr>
          <w:rFonts w:asciiTheme="minorHAnsi" w:hAnsiTheme="minorHAnsi" w:cstheme="minorBidi"/>
        </w:rPr>
        <w:t xml:space="preserve"> </w:t>
      </w:r>
      <w:r w:rsidR="7C6E81CA" w:rsidRPr="070E954E">
        <w:rPr>
          <w:rFonts w:asciiTheme="minorHAnsi" w:hAnsiTheme="minorHAnsi" w:cstheme="minorBidi"/>
        </w:rPr>
        <w:t>(</w:t>
      </w:r>
      <w:r w:rsidR="0CA8166B" w:rsidRPr="070E954E">
        <w:rPr>
          <w:rFonts w:asciiTheme="minorHAnsi" w:hAnsiTheme="minorHAnsi" w:cstheme="minorBidi"/>
        </w:rPr>
        <w:t>210</w:t>
      </w:r>
      <w:r w:rsidR="75BBC1A9" w:rsidRPr="070E954E">
        <w:rPr>
          <w:rFonts w:asciiTheme="minorHAnsi" w:hAnsiTheme="minorHAnsi" w:cstheme="minorBidi"/>
        </w:rPr>
        <w:t xml:space="preserve"> </w:t>
      </w:r>
      <w:r w:rsidR="66EE0834" w:rsidRPr="070E954E">
        <w:rPr>
          <w:rFonts w:asciiTheme="minorHAnsi" w:hAnsiTheme="minorHAnsi" w:cstheme="minorBidi"/>
        </w:rPr>
        <w:t>inspections on existing licences</w:t>
      </w:r>
      <w:r w:rsidR="0CA8166B" w:rsidRPr="070E954E">
        <w:rPr>
          <w:rFonts w:asciiTheme="minorHAnsi" w:hAnsiTheme="minorHAnsi" w:cstheme="minorBidi"/>
        </w:rPr>
        <w:t xml:space="preserve"> </w:t>
      </w:r>
      <w:r w:rsidR="4383FBAF" w:rsidRPr="070E954E">
        <w:rPr>
          <w:rFonts w:asciiTheme="minorHAnsi" w:hAnsiTheme="minorHAnsi" w:cstheme="minorBidi"/>
        </w:rPr>
        <w:t xml:space="preserve">plus </w:t>
      </w:r>
      <w:r w:rsidR="0CA8166B" w:rsidRPr="070E954E">
        <w:rPr>
          <w:rFonts w:asciiTheme="minorHAnsi" w:hAnsiTheme="minorHAnsi" w:cstheme="minorBidi"/>
        </w:rPr>
        <w:t xml:space="preserve">42 </w:t>
      </w:r>
      <w:r w:rsidR="408507A2" w:rsidRPr="070E954E">
        <w:rPr>
          <w:rFonts w:asciiTheme="minorHAnsi" w:hAnsiTheme="minorHAnsi" w:cstheme="minorBidi"/>
        </w:rPr>
        <w:t xml:space="preserve">on </w:t>
      </w:r>
      <w:r w:rsidR="7C6E81CA" w:rsidRPr="070E954E">
        <w:rPr>
          <w:rStyle w:val="cf01"/>
          <w:rFonts w:asciiTheme="minorHAnsi" w:hAnsiTheme="minorHAnsi" w:cstheme="minorBidi"/>
          <w:sz w:val="24"/>
          <w:szCs w:val="24"/>
        </w:rPr>
        <w:t>new licence assessments</w:t>
      </w:r>
      <w:r w:rsidR="2E58FBDE" w:rsidRPr="070E954E">
        <w:rPr>
          <w:rStyle w:val="cf01"/>
          <w:rFonts w:asciiTheme="minorHAnsi" w:hAnsiTheme="minorHAnsi" w:cstheme="minorBidi"/>
          <w:sz w:val="24"/>
          <w:szCs w:val="24"/>
        </w:rPr>
        <w:t xml:space="preserve">) </w:t>
      </w:r>
      <w:r w:rsidR="2E58FBDE" w:rsidRPr="070E954E">
        <w:rPr>
          <w:rFonts w:asciiTheme="minorHAnsi" w:hAnsiTheme="minorHAnsi" w:cstheme="minorBidi"/>
        </w:rPr>
        <w:t>was a significant operational achievement</w:t>
      </w:r>
      <w:r w:rsidR="7BBBD07A" w:rsidRPr="070E954E">
        <w:rPr>
          <w:rFonts w:asciiTheme="minorHAnsi" w:hAnsiTheme="minorHAnsi" w:cstheme="minorBidi"/>
        </w:rPr>
        <w:t>, facilitated by the wider adoption</w:t>
      </w:r>
      <w:r w:rsidR="7BBBD07A">
        <w:t xml:space="preserve"> of more proportionate</w:t>
      </w:r>
      <w:r w:rsidR="63B389FB">
        <w:t>,</w:t>
      </w:r>
      <w:r w:rsidR="7BBBD07A">
        <w:t xml:space="preserve"> </w:t>
      </w:r>
      <w:r w:rsidR="63B389FB">
        <w:t>innovative</w:t>
      </w:r>
      <w:r w:rsidR="7DE43677">
        <w:t xml:space="preserve"> </w:t>
      </w:r>
      <w:r w:rsidR="7BBBD07A">
        <w:t xml:space="preserve">and efficient approaches, which will be expanded on during 2023/24. </w:t>
      </w:r>
    </w:p>
    <w:p w14:paraId="5D73EB06" w14:textId="77777777" w:rsidR="00833255" w:rsidRDefault="00833255" w:rsidP="00B4172E">
      <w:pPr>
        <w:pStyle w:val="NumberedlistHTA"/>
        <w:numPr>
          <w:ilvl w:val="0"/>
          <w:numId w:val="0"/>
        </w:numPr>
        <w:spacing w:after="0" w:line="320" w:lineRule="exact"/>
        <w:ind w:left="426" w:hanging="426"/>
      </w:pPr>
    </w:p>
    <w:p w14:paraId="2BD01170" w14:textId="188A211D" w:rsidR="6F53BEE2" w:rsidRDefault="25941361" w:rsidP="00B4172E">
      <w:pPr>
        <w:pStyle w:val="NumberedlistHTA"/>
        <w:spacing w:after="0" w:line="320" w:lineRule="exact"/>
        <w:ind w:left="426" w:hanging="426"/>
        <w:rPr>
          <w:color w:val="2B2B2B"/>
        </w:rPr>
      </w:pPr>
      <w:r w:rsidRPr="39D783D7">
        <w:rPr>
          <w:color w:val="2B2B2B"/>
        </w:rPr>
        <w:t>Unannounced inspections, in response to specific regulatory concerns, have continued to play a part in our inspection programme, with one unannounced inspection having been carried out in the Human Application sector.</w:t>
      </w:r>
    </w:p>
    <w:p w14:paraId="1759615D" w14:textId="77777777" w:rsidR="00833255" w:rsidRDefault="00833255" w:rsidP="00B4172E">
      <w:pPr>
        <w:pStyle w:val="NumberedlistHTA"/>
        <w:numPr>
          <w:ilvl w:val="0"/>
          <w:numId w:val="0"/>
        </w:numPr>
        <w:spacing w:after="0" w:line="320" w:lineRule="exact"/>
        <w:ind w:left="426" w:hanging="426"/>
        <w:rPr>
          <w:color w:val="2B2B2B"/>
        </w:rPr>
      </w:pPr>
    </w:p>
    <w:p w14:paraId="1771F702" w14:textId="75329C95" w:rsidR="0087325C" w:rsidRDefault="385BCC77" w:rsidP="00B4172E">
      <w:pPr>
        <w:pStyle w:val="NumberedlistHTA"/>
        <w:spacing w:after="0" w:line="320" w:lineRule="exact"/>
        <w:ind w:left="426" w:hanging="426"/>
      </w:pPr>
      <w:r>
        <w:t>Other performance indicators</w:t>
      </w:r>
      <w:r w:rsidR="565008C0">
        <w:t xml:space="preserve"> for Quarter 4 of 2022/23 </w:t>
      </w:r>
      <w:r w:rsidR="0B3EBA14">
        <w:t>and year-end</w:t>
      </w:r>
      <w:r w:rsidR="77DD48B3">
        <w:t xml:space="preserve"> </w:t>
      </w:r>
      <w:r>
        <w:t>show a mixed picture</w:t>
      </w:r>
      <w:r w:rsidR="65EE21D3">
        <w:t>.</w:t>
      </w:r>
      <w:r w:rsidR="79AD3595">
        <w:t xml:space="preserve"> </w:t>
      </w:r>
      <w:r w:rsidR="57489750">
        <w:t>Whilst</w:t>
      </w:r>
      <w:r w:rsidR="597B748E">
        <w:t>, m</w:t>
      </w:r>
      <w:r w:rsidR="1D79B1AF">
        <w:t>ost</w:t>
      </w:r>
      <w:r w:rsidR="506B0ED9">
        <w:t xml:space="preserve"> of the </w:t>
      </w:r>
      <w:r w:rsidR="1D448A66">
        <w:t>year</w:t>
      </w:r>
      <w:r w:rsidR="00667288">
        <w:t>-</w:t>
      </w:r>
      <w:r w:rsidR="1D448A66">
        <w:t>end performance is close to target</w:t>
      </w:r>
      <w:r w:rsidR="27FE1232">
        <w:t xml:space="preserve">, </w:t>
      </w:r>
      <w:r w:rsidR="193F2C81">
        <w:t>t</w:t>
      </w:r>
      <w:r w:rsidR="21343E32">
        <w:t>he</w:t>
      </w:r>
      <w:r w:rsidR="1D448A66">
        <w:t xml:space="preserve"> KPI </w:t>
      </w:r>
      <w:r w:rsidR="6A90565B">
        <w:t xml:space="preserve">data </w:t>
      </w:r>
      <w:r w:rsidR="2965E818">
        <w:t xml:space="preserve">on the </w:t>
      </w:r>
      <w:r w:rsidR="2754CBB6">
        <w:t>proce</w:t>
      </w:r>
      <w:r w:rsidR="5ED51A64">
        <w:t>ss</w:t>
      </w:r>
      <w:r w:rsidR="2965E818">
        <w:t xml:space="preserve">ing </w:t>
      </w:r>
      <w:r w:rsidR="6846BFC8">
        <w:t xml:space="preserve">at least 90% of </w:t>
      </w:r>
      <w:r w:rsidR="65167D9E">
        <w:t>complete</w:t>
      </w:r>
      <w:r w:rsidR="6846BFC8">
        <w:t xml:space="preserve"> new licence applications shows this measure as </w:t>
      </w:r>
      <w:r w:rsidR="31A12EFD">
        <w:t>notab</w:t>
      </w:r>
      <w:r w:rsidR="6A3DEF33">
        <w:t>ly</w:t>
      </w:r>
      <w:r w:rsidR="6846BFC8">
        <w:t xml:space="preserve"> missed</w:t>
      </w:r>
      <w:r w:rsidR="2965E818">
        <w:t xml:space="preserve">. The </w:t>
      </w:r>
      <w:r w:rsidR="3C4E363D">
        <w:t xml:space="preserve">Quarter 4 </w:t>
      </w:r>
      <w:r w:rsidR="49EEF372">
        <w:t xml:space="preserve">performance </w:t>
      </w:r>
      <w:r w:rsidR="2965E818">
        <w:t xml:space="preserve">shows this </w:t>
      </w:r>
      <w:r w:rsidR="49EEF372">
        <w:t>at</w:t>
      </w:r>
      <w:r w:rsidR="3C4E363D">
        <w:t xml:space="preserve"> </w:t>
      </w:r>
      <w:r w:rsidR="1CB42F47">
        <w:t>50% (</w:t>
      </w:r>
      <w:r w:rsidR="2F1971F6">
        <w:t xml:space="preserve">4 out of 8) </w:t>
      </w:r>
      <w:r w:rsidR="606CF93A">
        <w:t xml:space="preserve">and </w:t>
      </w:r>
      <w:r w:rsidR="115CFF15">
        <w:t xml:space="preserve">the </w:t>
      </w:r>
      <w:r w:rsidR="49EEF372">
        <w:t>year</w:t>
      </w:r>
      <w:r w:rsidR="5564DE17">
        <w:t>-end</w:t>
      </w:r>
      <w:r w:rsidR="606CF93A">
        <w:t xml:space="preserve"> outturn </w:t>
      </w:r>
      <w:r w:rsidR="5564DE17">
        <w:t xml:space="preserve">was </w:t>
      </w:r>
      <w:r w:rsidR="606CF93A">
        <w:t>60% (19 out of 32 cases).</w:t>
      </w:r>
      <w:r w:rsidR="2F1971F6">
        <w:t xml:space="preserve"> </w:t>
      </w:r>
      <w:r w:rsidR="66051BC1">
        <w:t>The main issue</w:t>
      </w:r>
      <w:r w:rsidR="1CC7D41D">
        <w:t xml:space="preserve"> </w:t>
      </w:r>
      <w:r w:rsidR="0CF950BF">
        <w:t xml:space="preserve">is </w:t>
      </w:r>
      <w:r w:rsidR="319A7A3B">
        <w:t xml:space="preserve">that </w:t>
      </w:r>
      <w:r w:rsidR="4E80FE8A">
        <w:t xml:space="preserve">applications </w:t>
      </w:r>
      <w:r w:rsidR="319A7A3B">
        <w:t xml:space="preserve">are </w:t>
      </w:r>
      <w:r w:rsidR="4E80FE8A">
        <w:t>marked as</w:t>
      </w:r>
      <w:r w:rsidR="60E23983">
        <w:t xml:space="preserve"> </w:t>
      </w:r>
      <w:r w:rsidR="5564DE17">
        <w:t xml:space="preserve">‘complete’ </w:t>
      </w:r>
      <w:r w:rsidR="319A7A3B">
        <w:t>when all relevant</w:t>
      </w:r>
      <w:r w:rsidR="646E6755">
        <w:t xml:space="preserve"> sections of the application form have </w:t>
      </w:r>
      <w:r w:rsidR="15BC79F4">
        <w:t>been completed</w:t>
      </w:r>
      <w:r w:rsidR="2CAD72B9">
        <w:t xml:space="preserve">. This </w:t>
      </w:r>
      <w:r w:rsidR="70D84CA9">
        <w:t>does not necessarily mean</w:t>
      </w:r>
      <w:r w:rsidR="667F1C2C">
        <w:t xml:space="preserve"> that a licence can be issued as </w:t>
      </w:r>
      <w:r w:rsidR="70D84CA9">
        <w:t>complian</w:t>
      </w:r>
      <w:r w:rsidR="667F1C2C">
        <w:t>ce</w:t>
      </w:r>
      <w:r w:rsidR="70D84CA9">
        <w:t xml:space="preserve"> with standards</w:t>
      </w:r>
      <w:r w:rsidR="005A1F0C">
        <w:t xml:space="preserve"> still needs to be assessed</w:t>
      </w:r>
      <w:r w:rsidR="6D160FC7">
        <w:t xml:space="preserve">. </w:t>
      </w:r>
      <w:r w:rsidR="1A7282ED">
        <w:t xml:space="preserve">Therefore, </w:t>
      </w:r>
      <w:r w:rsidR="6A6D03D1">
        <w:t xml:space="preserve">even ‘complete’ </w:t>
      </w:r>
      <w:r w:rsidR="75E3E039">
        <w:t>applications may not be in a position to be offered a licence for some time</w:t>
      </w:r>
      <w:r w:rsidR="0A73CAC1">
        <w:t xml:space="preserve">. </w:t>
      </w:r>
    </w:p>
    <w:p w14:paraId="75A24770" w14:textId="77777777" w:rsidR="00833255" w:rsidRDefault="00833255" w:rsidP="00B4172E">
      <w:pPr>
        <w:pStyle w:val="NumberedlistHTA"/>
        <w:numPr>
          <w:ilvl w:val="0"/>
          <w:numId w:val="0"/>
        </w:numPr>
        <w:spacing w:after="0" w:line="320" w:lineRule="exact"/>
        <w:ind w:left="426" w:hanging="426"/>
      </w:pPr>
    </w:p>
    <w:p w14:paraId="38AF3D8F" w14:textId="77777777" w:rsidR="00833255" w:rsidRDefault="3EBF16E8" w:rsidP="00B4172E">
      <w:pPr>
        <w:pStyle w:val="NumberedlistHTA"/>
        <w:spacing w:after="0" w:line="320" w:lineRule="exact"/>
        <w:ind w:left="426" w:hanging="426"/>
      </w:pPr>
      <w:r>
        <w:t>The same issue ar</w:t>
      </w:r>
      <w:r w:rsidR="5D1D60EE">
        <w:t>i</w:t>
      </w:r>
      <w:r>
        <w:t>se</w:t>
      </w:r>
      <w:r w:rsidR="5D1D60EE">
        <w:t>s</w:t>
      </w:r>
      <w:r>
        <w:t xml:space="preserve"> with </w:t>
      </w:r>
      <w:r w:rsidR="5D1D60EE">
        <w:t xml:space="preserve">the </w:t>
      </w:r>
      <w:r>
        <w:t xml:space="preserve">licence variation request KPI. </w:t>
      </w:r>
      <w:r w:rsidR="50588BC9">
        <w:t xml:space="preserve">We have explored options to </w:t>
      </w:r>
      <w:r w:rsidR="01F7A20A">
        <w:t xml:space="preserve">change the point at which we ‘start the clock’ and / or </w:t>
      </w:r>
      <w:r w:rsidR="50588BC9">
        <w:t>‘stop the clock’</w:t>
      </w:r>
      <w:r w:rsidR="01F7A20A">
        <w:t>,</w:t>
      </w:r>
      <w:r w:rsidR="50588BC9">
        <w:t xml:space="preserve"> </w:t>
      </w:r>
      <w:r w:rsidR="126A2844">
        <w:t>to allow time for relevant regulatory activity to ensure suitable compliance with standards</w:t>
      </w:r>
      <w:r w:rsidR="250B58F0">
        <w:t xml:space="preserve"> before issuing a licence or licence variation. </w:t>
      </w:r>
      <w:r w:rsidR="4E6A976C">
        <w:t>A</w:t>
      </w:r>
      <w:r w:rsidR="5368518F">
        <w:t xml:space="preserve"> system </w:t>
      </w:r>
      <w:r w:rsidR="4E6A976C">
        <w:t>change to facilitate this is unlikely to be implemented before the next reporting year.</w:t>
      </w:r>
    </w:p>
    <w:p w14:paraId="774AF63F" w14:textId="30E0BC94" w:rsidR="00683461" w:rsidRPr="001A509B" w:rsidRDefault="65167D9E" w:rsidP="00B4172E">
      <w:pPr>
        <w:pStyle w:val="NumberedlistHTA"/>
        <w:numPr>
          <w:ilvl w:val="0"/>
          <w:numId w:val="0"/>
        </w:numPr>
        <w:spacing w:after="0" w:line="320" w:lineRule="exact"/>
        <w:ind w:left="426" w:hanging="426"/>
      </w:pPr>
      <w:r>
        <w:t xml:space="preserve"> </w:t>
      </w:r>
      <w:r w:rsidR="3983C2EC">
        <w:t xml:space="preserve"> </w:t>
      </w:r>
    </w:p>
    <w:p w14:paraId="118CDDFF" w14:textId="77777777" w:rsidR="00833255" w:rsidRDefault="76E60310" w:rsidP="00B4172E">
      <w:pPr>
        <w:pStyle w:val="NumberedlistHTA"/>
        <w:spacing w:after="0" w:line="320" w:lineRule="exact"/>
        <w:ind w:left="426" w:hanging="426"/>
      </w:pPr>
      <w:r>
        <w:t>T</w:t>
      </w:r>
      <w:r w:rsidR="385BCC77">
        <w:t>he HTA review</w:t>
      </w:r>
      <w:r w:rsidR="5E9D3883">
        <w:t xml:space="preserve">ed and updated its published guidance to the </w:t>
      </w:r>
      <w:r w:rsidR="385BCC77">
        <w:t>Anatomy sector licensing standards</w:t>
      </w:r>
      <w:r w:rsidR="5E9D3883">
        <w:t xml:space="preserve"> </w:t>
      </w:r>
      <w:r w:rsidR="00223EFC">
        <w:t>in</w:t>
      </w:r>
      <w:r w:rsidR="5E9D3883">
        <w:t xml:space="preserve"> Quarter 4. This entailed </w:t>
      </w:r>
      <w:r w:rsidR="385BCC77">
        <w:t xml:space="preserve">external engagement and feedback </w:t>
      </w:r>
      <w:r w:rsidR="5E9D3883">
        <w:t xml:space="preserve">from </w:t>
      </w:r>
      <w:r w:rsidR="385BCC77">
        <w:t>stakeholders.</w:t>
      </w:r>
    </w:p>
    <w:p w14:paraId="578E8C4A" w14:textId="7D6E7509" w:rsidR="00730251" w:rsidRPr="00D66680" w:rsidRDefault="385BCC77" w:rsidP="00B4172E">
      <w:pPr>
        <w:pStyle w:val="NumberedlistHTA"/>
        <w:numPr>
          <w:ilvl w:val="0"/>
          <w:numId w:val="0"/>
        </w:numPr>
        <w:spacing w:after="0" w:line="320" w:lineRule="exact"/>
        <w:ind w:left="426" w:hanging="426"/>
        <w:rPr>
          <w:rStyle w:val="normaltextrun"/>
        </w:rPr>
      </w:pPr>
      <w:r>
        <w:t xml:space="preserve"> </w:t>
      </w:r>
    </w:p>
    <w:p w14:paraId="22E08FC7" w14:textId="7CF777CD" w:rsidR="006A46BB" w:rsidRDefault="612CB5D0" w:rsidP="00B4172E">
      <w:pPr>
        <w:pStyle w:val="NumberedlistHTA"/>
        <w:spacing w:after="0" w:line="320" w:lineRule="exact"/>
        <w:ind w:left="426" w:hanging="426"/>
        <w:rPr>
          <w:rStyle w:val="normaltextrun"/>
        </w:rPr>
      </w:pPr>
      <w:r w:rsidRPr="7F4DEF86">
        <w:rPr>
          <w:rStyle w:val="normaltextrun"/>
        </w:rPr>
        <w:t>The</w:t>
      </w:r>
      <w:r w:rsidR="09613627" w:rsidRPr="7F4DEF86">
        <w:rPr>
          <w:rStyle w:val="normaltextrun"/>
        </w:rPr>
        <w:t xml:space="preserve"> </w:t>
      </w:r>
      <w:r w:rsidR="46D7372D" w:rsidRPr="7F4DEF86">
        <w:rPr>
          <w:rStyle w:val="normaltextrun"/>
        </w:rPr>
        <w:t>HTA</w:t>
      </w:r>
      <w:r w:rsidR="45148D79" w:rsidRPr="7F4DEF86">
        <w:rPr>
          <w:rStyle w:val="normaltextrun"/>
        </w:rPr>
        <w:t xml:space="preserve"> </w:t>
      </w:r>
      <w:r w:rsidR="0D0FD170" w:rsidRPr="7F4DEF86">
        <w:rPr>
          <w:rStyle w:val="normaltextrun"/>
        </w:rPr>
        <w:t>asses</w:t>
      </w:r>
      <w:r w:rsidR="29E415AC" w:rsidRPr="7F4DEF86">
        <w:rPr>
          <w:rStyle w:val="normaltextrun"/>
        </w:rPr>
        <w:t>s</w:t>
      </w:r>
      <w:r w:rsidR="46D7372D" w:rsidRPr="7F4DEF86">
        <w:rPr>
          <w:rStyle w:val="normaltextrun"/>
        </w:rPr>
        <w:t>ed</w:t>
      </w:r>
      <w:r w:rsidR="625591E8" w:rsidRPr="7F4DEF86">
        <w:rPr>
          <w:rStyle w:val="normaltextrun"/>
        </w:rPr>
        <w:t xml:space="preserve"> s</w:t>
      </w:r>
      <w:r w:rsidR="2F85F533" w:rsidRPr="7F4DEF86">
        <w:rPr>
          <w:rStyle w:val="normaltextrun"/>
        </w:rPr>
        <w:t>everal</w:t>
      </w:r>
      <w:r w:rsidR="625591E8" w:rsidRPr="7F4DEF86">
        <w:rPr>
          <w:rStyle w:val="normaltextrun"/>
        </w:rPr>
        <w:t xml:space="preserve"> complex </w:t>
      </w:r>
      <w:r w:rsidR="09613627" w:rsidRPr="7F4DEF86">
        <w:rPr>
          <w:rStyle w:val="normaltextrun"/>
        </w:rPr>
        <w:t xml:space="preserve">Living Organ Donation </w:t>
      </w:r>
      <w:r w:rsidR="38179A07" w:rsidRPr="7F4DEF86">
        <w:rPr>
          <w:rStyle w:val="normaltextrun"/>
        </w:rPr>
        <w:t>cases</w:t>
      </w:r>
      <w:r w:rsidR="09613627" w:rsidRPr="7F4DEF86">
        <w:rPr>
          <w:rStyle w:val="normaltextrun"/>
        </w:rPr>
        <w:t xml:space="preserve"> during Quarter </w:t>
      </w:r>
      <w:r w:rsidRPr="7F4DEF86">
        <w:rPr>
          <w:rStyle w:val="normaltextrun"/>
        </w:rPr>
        <w:t>4</w:t>
      </w:r>
      <w:r w:rsidR="45148D79" w:rsidRPr="7F4DEF86">
        <w:rPr>
          <w:rStyle w:val="normaltextrun"/>
        </w:rPr>
        <w:t>.</w:t>
      </w:r>
      <w:r w:rsidR="09613627" w:rsidRPr="7F4DEF86">
        <w:rPr>
          <w:rStyle w:val="normaltextrun"/>
        </w:rPr>
        <w:t xml:space="preserve"> Decisions were made in all cases</w:t>
      </w:r>
      <w:r w:rsidR="497A8F8C" w:rsidRPr="7F4DEF86">
        <w:rPr>
          <w:rStyle w:val="normaltextrun"/>
        </w:rPr>
        <w:t>, with one case declined.</w:t>
      </w:r>
      <w:r w:rsidR="008BC9C4" w:rsidRPr="7F4DEF86">
        <w:rPr>
          <w:rStyle w:val="normaltextrun"/>
        </w:rPr>
        <w:t xml:space="preserve"> </w:t>
      </w:r>
    </w:p>
    <w:p w14:paraId="1C790A5E" w14:textId="77777777" w:rsidR="00833255" w:rsidRPr="0097441C" w:rsidRDefault="00833255" w:rsidP="00B4172E">
      <w:pPr>
        <w:pStyle w:val="NumberedlistHTA"/>
        <w:numPr>
          <w:ilvl w:val="0"/>
          <w:numId w:val="0"/>
        </w:numPr>
        <w:spacing w:after="0" w:line="320" w:lineRule="exact"/>
        <w:ind w:left="426" w:hanging="426"/>
        <w:rPr>
          <w:rStyle w:val="normaltextrun"/>
        </w:rPr>
      </w:pPr>
    </w:p>
    <w:p w14:paraId="0F14076E" w14:textId="38C91B0A" w:rsidR="006A46BB" w:rsidRDefault="24CAF796" w:rsidP="00B4172E">
      <w:pPr>
        <w:pStyle w:val="NumberedlistHTA"/>
        <w:spacing w:after="0" w:line="320" w:lineRule="exact"/>
        <w:ind w:left="426" w:hanging="426"/>
      </w:pPr>
      <w:r w:rsidRPr="7F4DEF86">
        <w:rPr>
          <w:rStyle w:val="normaltextrun"/>
        </w:rPr>
        <w:t xml:space="preserve">The </w:t>
      </w:r>
      <w:r w:rsidR="554E7BCD" w:rsidRPr="7F4DEF86">
        <w:rPr>
          <w:rStyle w:val="normaltextrun"/>
        </w:rPr>
        <w:t xml:space="preserve">HTA </w:t>
      </w:r>
      <w:r w:rsidR="54242DCF" w:rsidRPr="7F4DEF86">
        <w:rPr>
          <w:rStyle w:val="normaltextrun"/>
        </w:rPr>
        <w:t>ha</w:t>
      </w:r>
      <w:r w:rsidR="554E7BCD" w:rsidRPr="7F4DEF86">
        <w:rPr>
          <w:rStyle w:val="normaltextrun"/>
        </w:rPr>
        <w:t>s</w:t>
      </w:r>
      <w:r w:rsidR="54242DCF" w:rsidRPr="7F4DEF86">
        <w:rPr>
          <w:rStyle w:val="normaltextrun"/>
        </w:rPr>
        <w:t xml:space="preserve"> </w:t>
      </w:r>
      <w:r w:rsidR="716A6064" w:rsidRPr="7F4DEF86">
        <w:rPr>
          <w:rStyle w:val="normaltextrun"/>
        </w:rPr>
        <w:t>actively</w:t>
      </w:r>
      <w:r w:rsidR="47854201" w:rsidRPr="7F4DEF86">
        <w:rPr>
          <w:rStyle w:val="normaltextrun"/>
        </w:rPr>
        <w:t xml:space="preserve"> </w:t>
      </w:r>
      <w:r w:rsidR="7FB9C018" w:rsidRPr="7F4DEF86">
        <w:rPr>
          <w:rStyle w:val="normaltextrun"/>
        </w:rPr>
        <w:t>engaged</w:t>
      </w:r>
      <w:r w:rsidR="47854201" w:rsidRPr="7F4DEF86">
        <w:rPr>
          <w:rStyle w:val="normaltextrun"/>
        </w:rPr>
        <w:t xml:space="preserve"> with the living organ donation sector, including</w:t>
      </w:r>
      <w:r w:rsidR="49167A19" w:rsidRPr="7F4DEF86">
        <w:rPr>
          <w:rStyle w:val="normaltextrun"/>
        </w:rPr>
        <w:t xml:space="preserve"> </w:t>
      </w:r>
      <w:r w:rsidR="6E5E2444" w:rsidRPr="7F4DEF86">
        <w:rPr>
          <w:rStyle w:val="normaltextrun"/>
        </w:rPr>
        <w:t>NHS</w:t>
      </w:r>
      <w:r w:rsidR="49167A19" w:rsidRPr="7F4DEF86">
        <w:rPr>
          <w:rStyle w:val="normaltextrun"/>
        </w:rPr>
        <w:t xml:space="preserve"> </w:t>
      </w:r>
      <w:r w:rsidR="6E5E2444" w:rsidRPr="7F4DEF86">
        <w:rPr>
          <w:rStyle w:val="normaltextrun"/>
        </w:rPr>
        <w:t>B</w:t>
      </w:r>
      <w:r w:rsidR="49167A19" w:rsidRPr="7F4DEF86">
        <w:rPr>
          <w:rStyle w:val="normaltextrun"/>
        </w:rPr>
        <w:t xml:space="preserve">lood and </w:t>
      </w:r>
      <w:r w:rsidR="6E5E2444" w:rsidRPr="7F4DEF86">
        <w:rPr>
          <w:rStyle w:val="normaltextrun"/>
        </w:rPr>
        <w:t>T</w:t>
      </w:r>
      <w:r w:rsidR="49167A19" w:rsidRPr="7F4DEF86">
        <w:rPr>
          <w:rStyle w:val="normaltextrun"/>
        </w:rPr>
        <w:t>ransplant,</w:t>
      </w:r>
      <w:r w:rsidR="6E5E2444" w:rsidRPr="7F4DEF86">
        <w:rPr>
          <w:rStyle w:val="normaltextrun"/>
        </w:rPr>
        <w:t xml:space="preserve"> to discuss</w:t>
      </w:r>
      <w:r w:rsidR="6E5E2444">
        <w:t xml:space="preserve"> recommendations to support the development and sustainability of living donor liver transplantation </w:t>
      </w:r>
      <w:r w:rsidR="0C75018A">
        <w:t xml:space="preserve">in the UK. </w:t>
      </w:r>
    </w:p>
    <w:p w14:paraId="42111888" w14:textId="77777777" w:rsidR="00BD406C" w:rsidRPr="0097441C" w:rsidRDefault="00BD406C" w:rsidP="00B4172E">
      <w:pPr>
        <w:pStyle w:val="NumberedlistHTA"/>
        <w:numPr>
          <w:ilvl w:val="0"/>
          <w:numId w:val="0"/>
        </w:numPr>
        <w:spacing w:after="0" w:line="320" w:lineRule="exact"/>
        <w:ind w:left="426" w:hanging="426"/>
        <w:rPr>
          <w:rStyle w:val="normaltextrun"/>
        </w:rPr>
      </w:pPr>
    </w:p>
    <w:p w14:paraId="1E5F57AF" w14:textId="266F16B4" w:rsidR="002D2E3D" w:rsidRDefault="596EB9FF" w:rsidP="003A0777">
      <w:pPr>
        <w:pStyle w:val="NumberedlistHTA"/>
        <w:spacing w:after="0" w:line="320" w:lineRule="exact"/>
        <w:ind w:left="426" w:hanging="426"/>
        <w:rPr>
          <w:rStyle w:val="normaltextrun"/>
        </w:rPr>
      </w:pPr>
      <w:r w:rsidRPr="7F4DEF86">
        <w:rPr>
          <w:rStyle w:val="normaltextrun"/>
        </w:rPr>
        <w:t xml:space="preserve">The Head of Regulation for ODT </w:t>
      </w:r>
      <w:r w:rsidR="3C27C5E6" w:rsidRPr="7F4DEF86">
        <w:rPr>
          <w:rStyle w:val="normaltextrun"/>
        </w:rPr>
        <w:t>g</w:t>
      </w:r>
      <w:r w:rsidR="6714A14B" w:rsidRPr="7F4DEF86">
        <w:rPr>
          <w:rStyle w:val="normaltextrun"/>
        </w:rPr>
        <w:t>a</w:t>
      </w:r>
      <w:r w:rsidR="3C27C5E6" w:rsidRPr="7F4DEF86">
        <w:rPr>
          <w:rStyle w:val="normaltextrun"/>
        </w:rPr>
        <w:t xml:space="preserve">ve evidence </w:t>
      </w:r>
      <w:r w:rsidR="771AB766" w:rsidRPr="7F4DEF86">
        <w:rPr>
          <w:rStyle w:val="normaltextrun"/>
        </w:rPr>
        <w:t xml:space="preserve">on the HTA’s living organ donation approval process </w:t>
      </w:r>
      <w:r w:rsidR="3C27C5E6" w:rsidRPr="7F4DEF86">
        <w:rPr>
          <w:rStyle w:val="normaltextrun"/>
        </w:rPr>
        <w:t xml:space="preserve">at the </w:t>
      </w:r>
      <w:r w:rsidR="771AB766" w:rsidRPr="7F4DEF86">
        <w:rPr>
          <w:rStyle w:val="normaltextrun"/>
        </w:rPr>
        <w:t xml:space="preserve">recent </w:t>
      </w:r>
      <w:r w:rsidR="3C27C5E6" w:rsidRPr="7F4DEF86">
        <w:rPr>
          <w:rStyle w:val="normaltextrun"/>
        </w:rPr>
        <w:t xml:space="preserve">trial </w:t>
      </w:r>
      <w:r w:rsidR="771AB766" w:rsidRPr="7F4DEF86">
        <w:rPr>
          <w:rStyle w:val="normaltextrun"/>
        </w:rPr>
        <w:t>for people trafficking for the purpose of organ donation</w:t>
      </w:r>
      <w:r w:rsidR="1F07D641" w:rsidRPr="7F4DEF86">
        <w:rPr>
          <w:rStyle w:val="normaltextrun"/>
        </w:rPr>
        <w:t>.</w:t>
      </w:r>
      <w:r w:rsidR="78D2B0AE" w:rsidRPr="7F4DEF86">
        <w:rPr>
          <w:rStyle w:val="normaltextrun"/>
        </w:rPr>
        <w:t xml:space="preserve"> </w:t>
      </w:r>
      <w:r w:rsidR="3A20DC99" w:rsidRPr="7F4DEF86">
        <w:rPr>
          <w:rStyle w:val="normaltextrun"/>
        </w:rPr>
        <w:t>(</w:t>
      </w:r>
      <w:r w:rsidR="1F07D641" w:rsidRPr="7F4DEF86">
        <w:rPr>
          <w:rStyle w:val="normaltextrun"/>
        </w:rPr>
        <w:t>U</w:t>
      </w:r>
      <w:r w:rsidR="3A20DC99" w:rsidRPr="7F4DEF86">
        <w:rPr>
          <w:rStyle w:val="normaltextrun"/>
        </w:rPr>
        <w:t>nder</w:t>
      </w:r>
      <w:r w:rsidR="50F2981E" w:rsidRPr="7F4DEF86">
        <w:rPr>
          <w:rStyle w:val="normaltextrun"/>
        </w:rPr>
        <w:t xml:space="preserve"> the Modern Slavery Act</w:t>
      </w:r>
      <w:r w:rsidR="7758E433" w:rsidRPr="7F4DEF86">
        <w:rPr>
          <w:rStyle w:val="normaltextrun"/>
        </w:rPr>
        <w:t xml:space="preserve"> 2015</w:t>
      </w:r>
      <w:r w:rsidR="50F2981E" w:rsidRPr="7F4DEF86">
        <w:rPr>
          <w:rStyle w:val="normaltextrun"/>
        </w:rPr>
        <w:t xml:space="preserve">, people trafficking for the purpose of organ donation is one </w:t>
      </w:r>
      <w:r w:rsidR="46BBAAC7" w:rsidRPr="7F4DEF86">
        <w:rPr>
          <w:rStyle w:val="normaltextrun"/>
        </w:rPr>
        <w:t>definition</w:t>
      </w:r>
      <w:r w:rsidR="50F2981E" w:rsidRPr="7F4DEF86">
        <w:rPr>
          <w:rStyle w:val="normaltextrun"/>
        </w:rPr>
        <w:t xml:space="preserve"> of </w:t>
      </w:r>
      <w:r w:rsidR="07339ADB" w:rsidRPr="7F4DEF86">
        <w:rPr>
          <w:rStyle w:val="normaltextrun"/>
        </w:rPr>
        <w:t xml:space="preserve">exploitation amounting to </w:t>
      </w:r>
      <w:r w:rsidR="50F2981E" w:rsidRPr="7F4DEF86">
        <w:rPr>
          <w:rStyle w:val="normaltextrun"/>
        </w:rPr>
        <w:t>modern slavery)</w:t>
      </w:r>
      <w:r w:rsidR="007C04DB">
        <w:rPr>
          <w:rStyle w:val="normaltextrun"/>
        </w:rPr>
        <w:t>.</w:t>
      </w:r>
      <w:r w:rsidR="50F2981E" w:rsidRPr="7F4DEF86">
        <w:rPr>
          <w:rStyle w:val="normaltextrun"/>
        </w:rPr>
        <w:t xml:space="preserve"> </w:t>
      </w:r>
      <w:r w:rsidR="0D131F41" w:rsidRPr="7F4DEF86">
        <w:rPr>
          <w:rStyle w:val="normaltextrun"/>
        </w:rPr>
        <w:t>The</w:t>
      </w:r>
      <w:r w:rsidR="771AB766" w:rsidRPr="7F4DEF86">
        <w:rPr>
          <w:rStyle w:val="normaltextrun"/>
        </w:rPr>
        <w:t xml:space="preserve"> defendants </w:t>
      </w:r>
      <w:r w:rsidR="0E713C12" w:rsidRPr="7F4DEF86">
        <w:rPr>
          <w:rStyle w:val="normaltextrun"/>
        </w:rPr>
        <w:t>were convicted under the Modern Slavery Act; the first convictions of this kind in the UK.</w:t>
      </w:r>
    </w:p>
    <w:p w14:paraId="70370480" w14:textId="77777777" w:rsidR="00E03A4D" w:rsidRPr="0097441C" w:rsidRDefault="00E03A4D" w:rsidP="00B4172E">
      <w:pPr>
        <w:pStyle w:val="NumberedlistHTA"/>
        <w:numPr>
          <w:ilvl w:val="0"/>
          <w:numId w:val="0"/>
        </w:numPr>
        <w:spacing w:after="0" w:line="320" w:lineRule="exact"/>
        <w:ind w:left="4046" w:hanging="360"/>
      </w:pPr>
    </w:p>
    <w:p w14:paraId="2ECF3703" w14:textId="3BD90043" w:rsidR="005457DF" w:rsidRDefault="08AA4C3E" w:rsidP="00B4172E">
      <w:pPr>
        <w:pStyle w:val="NumberedlistHTA"/>
        <w:spacing w:after="0" w:line="320" w:lineRule="exact"/>
        <w:ind w:left="426" w:hanging="426"/>
        <w:rPr>
          <w:rStyle w:val="normaltextrun"/>
        </w:rPr>
      </w:pPr>
      <w:r w:rsidRPr="7F4DEF86">
        <w:rPr>
          <w:color w:val="222222"/>
        </w:rPr>
        <w:lastRenderedPageBreak/>
        <w:t xml:space="preserve">On 1 July 2022, amendments to the Human Tissue Act 2004 and the Human Tissue (Scotland) Act 2004 came into force, inserting a new section 32A and 20A into each Act respectively. </w:t>
      </w:r>
      <w:r w:rsidR="52851F07" w:rsidRPr="7F4DEF86">
        <w:rPr>
          <w:color w:val="222222"/>
        </w:rPr>
        <w:t>Th</w:t>
      </w:r>
      <w:r w:rsidR="23A8C2EF" w:rsidRPr="7F4DEF86">
        <w:rPr>
          <w:color w:val="222222"/>
        </w:rPr>
        <w:t>is extends th</w:t>
      </w:r>
      <w:r w:rsidR="52851F07" w:rsidRPr="7F4DEF86">
        <w:rPr>
          <w:color w:val="222222"/>
        </w:rPr>
        <w:t>e</w:t>
      </w:r>
      <w:r w:rsidR="1CC91F40" w:rsidRPr="7F4DEF86">
        <w:rPr>
          <w:color w:val="222222"/>
        </w:rPr>
        <w:t xml:space="preserve"> </w:t>
      </w:r>
      <w:r w:rsidR="4913EFDF" w:rsidRPr="7F4DEF86">
        <w:rPr>
          <w:rStyle w:val="normaltextrun"/>
        </w:rPr>
        <w:t>offence</w:t>
      </w:r>
      <w:r w:rsidR="52851F07" w:rsidRPr="7F4DEF86">
        <w:rPr>
          <w:rStyle w:val="normaltextrun"/>
        </w:rPr>
        <w:t>s relat</w:t>
      </w:r>
      <w:r w:rsidR="23A8C2EF" w:rsidRPr="7F4DEF86">
        <w:rPr>
          <w:rStyle w:val="normaltextrun"/>
        </w:rPr>
        <w:t>ing</w:t>
      </w:r>
      <w:r w:rsidR="32141EC8" w:rsidRPr="7F4DEF86">
        <w:rPr>
          <w:rStyle w:val="normaltextrun"/>
        </w:rPr>
        <w:t xml:space="preserve"> to</w:t>
      </w:r>
      <w:r w:rsidR="5923DCB6" w:rsidRPr="7F4DEF86">
        <w:rPr>
          <w:rStyle w:val="normaltextrun"/>
        </w:rPr>
        <w:t xml:space="preserve"> </w:t>
      </w:r>
      <w:r w:rsidR="76F7383E" w:rsidRPr="7F4DEF86">
        <w:rPr>
          <w:rStyle w:val="normaltextrun"/>
        </w:rPr>
        <w:t>commercial dealings in organ transplantation</w:t>
      </w:r>
      <w:r w:rsidR="23A8C2EF" w:rsidRPr="7F4DEF86">
        <w:rPr>
          <w:rStyle w:val="normaltextrun"/>
        </w:rPr>
        <w:t xml:space="preserve"> so that they now apply</w:t>
      </w:r>
      <w:r w:rsidR="2ADC3D06" w:rsidRPr="7F4DEF86">
        <w:rPr>
          <w:rStyle w:val="normaltextrun"/>
        </w:rPr>
        <w:t xml:space="preserve"> </w:t>
      </w:r>
      <w:r w:rsidR="2ADC3D06" w:rsidRPr="7F4DEF86">
        <w:rPr>
          <w:color w:val="222222"/>
        </w:rPr>
        <w:t>outside of the United Kingdom</w:t>
      </w:r>
      <w:r w:rsidR="23A8C2EF" w:rsidRPr="7F4DEF86">
        <w:rPr>
          <w:color w:val="222222"/>
        </w:rPr>
        <w:t xml:space="preserve"> in certain circumstances</w:t>
      </w:r>
      <w:r w:rsidR="5E07B65E" w:rsidRPr="7F4DEF86">
        <w:rPr>
          <w:rStyle w:val="QuoteChar"/>
        </w:rPr>
        <w:t>.</w:t>
      </w:r>
      <w:r w:rsidR="2ADC3D06" w:rsidRPr="7F4DEF86">
        <w:rPr>
          <w:rStyle w:val="QuoteChar"/>
        </w:rPr>
        <w:t xml:space="preserve"> </w:t>
      </w:r>
      <w:r w:rsidR="46D7372D" w:rsidRPr="7F4DEF86">
        <w:rPr>
          <w:rStyle w:val="normaltextrun"/>
        </w:rPr>
        <w:t>The HTA has</w:t>
      </w:r>
      <w:r w:rsidR="76F7383E" w:rsidRPr="7F4DEF86">
        <w:rPr>
          <w:rStyle w:val="normaltextrun"/>
        </w:rPr>
        <w:t xml:space="preserve"> been </w:t>
      </w:r>
      <w:r w:rsidR="15B3DAAA" w:rsidRPr="7F4DEF86">
        <w:rPr>
          <w:rStyle w:val="normaltextrun"/>
        </w:rPr>
        <w:t>leading on</w:t>
      </w:r>
      <w:r w:rsidR="692114F2" w:rsidRPr="7F4DEF86">
        <w:rPr>
          <w:rStyle w:val="normaltextrun"/>
        </w:rPr>
        <w:t xml:space="preserve"> developing and</w:t>
      </w:r>
      <w:r w:rsidR="52C09CF7" w:rsidRPr="7F4DEF86">
        <w:rPr>
          <w:rStyle w:val="normaltextrun"/>
        </w:rPr>
        <w:t xml:space="preserve"> </w:t>
      </w:r>
      <w:r w:rsidR="542E5246" w:rsidRPr="7F4DEF86">
        <w:rPr>
          <w:rStyle w:val="normaltextrun"/>
        </w:rPr>
        <w:t xml:space="preserve">refining </w:t>
      </w:r>
      <w:r w:rsidR="76F7383E" w:rsidRPr="7F4DEF86">
        <w:rPr>
          <w:rStyle w:val="normaltextrun"/>
        </w:rPr>
        <w:t>the process for referring suspected cases</w:t>
      </w:r>
      <w:r w:rsidR="0986D0D7" w:rsidRPr="7F4DEF86">
        <w:rPr>
          <w:rStyle w:val="normaltextrun"/>
        </w:rPr>
        <w:t xml:space="preserve"> and this work </w:t>
      </w:r>
      <w:r w:rsidR="6310D72E" w:rsidRPr="7F4DEF86">
        <w:rPr>
          <w:rStyle w:val="normaltextrun"/>
        </w:rPr>
        <w:t>continu</w:t>
      </w:r>
      <w:r w:rsidR="722CD69C" w:rsidRPr="7F4DEF86">
        <w:rPr>
          <w:rStyle w:val="normaltextrun"/>
        </w:rPr>
        <w:t>es.</w:t>
      </w:r>
    </w:p>
    <w:p w14:paraId="472B525D" w14:textId="77777777" w:rsidR="00BD406C" w:rsidRPr="0097441C" w:rsidRDefault="00BD406C" w:rsidP="00C06E2A">
      <w:pPr>
        <w:pStyle w:val="NumberedlistHTA"/>
        <w:numPr>
          <w:ilvl w:val="0"/>
          <w:numId w:val="0"/>
        </w:numPr>
        <w:spacing w:after="0" w:line="240" w:lineRule="auto"/>
        <w:ind w:left="567" w:hanging="567"/>
        <w:rPr>
          <w:rStyle w:val="normaltextrun"/>
        </w:rPr>
      </w:pPr>
    </w:p>
    <w:p w14:paraId="198F91E8" w14:textId="4B2B2ED3" w:rsidR="00C14DEB" w:rsidRDefault="2CCD0494" w:rsidP="00B4172E">
      <w:pPr>
        <w:pStyle w:val="NumberedlistHTA"/>
        <w:spacing w:after="0" w:line="320" w:lineRule="exact"/>
        <w:ind w:left="426" w:hanging="426"/>
        <w:rPr>
          <w:rStyle w:val="normaltextrun"/>
        </w:rPr>
      </w:pPr>
      <w:r w:rsidRPr="7F4DEF86">
        <w:rPr>
          <w:rStyle w:val="normaltextrun"/>
        </w:rPr>
        <w:t xml:space="preserve">During Quarter 4, </w:t>
      </w:r>
      <w:r w:rsidR="4269723B" w:rsidRPr="7F4DEF86">
        <w:rPr>
          <w:rStyle w:val="normaltextrun"/>
        </w:rPr>
        <w:t xml:space="preserve">the </w:t>
      </w:r>
      <w:r w:rsidR="483770A8" w:rsidRPr="7F4DEF86">
        <w:rPr>
          <w:rStyle w:val="normaltextrun"/>
        </w:rPr>
        <w:t>HTA</w:t>
      </w:r>
      <w:r w:rsidR="47DEDB33" w:rsidRPr="7F4DEF86">
        <w:rPr>
          <w:rStyle w:val="normaltextrun"/>
        </w:rPr>
        <w:t xml:space="preserve"> </w:t>
      </w:r>
      <w:r w:rsidR="70871A91" w:rsidRPr="7F4DEF86">
        <w:rPr>
          <w:rStyle w:val="normaltextrun"/>
        </w:rPr>
        <w:t>refer</w:t>
      </w:r>
      <w:r w:rsidR="5E51CB70" w:rsidRPr="7F4DEF86">
        <w:rPr>
          <w:rStyle w:val="normaltextrun"/>
        </w:rPr>
        <w:t>red</w:t>
      </w:r>
      <w:r w:rsidR="16A3E920" w:rsidRPr="7F4DEF86">
        <w:rPr>
          <w:rStyle w:val="normaltextrun"/>
        </w:rPr>
        <w:t xml:space="preserve"> </w:t>
      </w:r>
      <w:r w:rsidR="4CEA22DB" w:rsidRPr="7F4DEF86">
        <w:rPr>
          <w:rStyle w:val="normaltextrun"/>
          <w:color w:val="auto"/>
        </w:rPr>
        <w:t>2</w:t>
      </w:r>
      <w:r w:rsidR="6E2EAD9C" w:rsidRPr="7F4DEF86">
        <w:rPr>
          <w:rStyle w:val="normaltextrun"/>
          <w:color w:val="auto"/>
        </w:rPr>
        <w:t xml:space="preserve"> </w:t>
      </w:r>
      <w:r w:rsidR="6E2EAD9C" w:rsidRPr="7F4DEF86">
        <w:rPr>
          <w:rStyle w:val="normaltextrun"/>
        </w:rPr>
        <w:t>cases</w:t>
      </w:r>
      <w:r w:rsidR="12375F7B" w:rsidRPr="7F4DEF86">
        <w:rPr>
          <w:rStyle w:val="normaltextrun"/>
        </w:rPr>
        <w:t xml:space="preserve"> of potential Human Tissue Act offences relating to living organ donation </w:t>
      </w:r>
      <w:r w:rsidR="6E2EAD9C" w:rsidRPr="7F4DEF86">
        <w:rPr>
          <w:rStyle w:val="normaltextrun"/>
        </w:rPr>
        <w:t>to the police for further investigation</w:t>
      </w:r>
      <w:r w:rsidR="12375F7B" w:rsidRPr="7F4DEF86">
        <w:rPr>
          <w:rStyle w:val="normaltextrun"/>
        </w:rPr>
        <w:t xml:space="preserve">. </w:t>
      </w:r>
    </w:p>
    <w:p w14:paraId="5F992D1F" w14:textId="77777777" w:rsidR="00263B72" w:rsidRPr="0097441C" w:rsidRDefault="00263B72" w:rsidP="00B4172E">
      <w:pPr>
        <w:pStyle w:val="NumberedlistHTA"/>
        <w:numPr>
          <w:ilvl w:val="0"/>
          <w:numId w:val="0"/>
        </w:numPr>
        <w:spacing w:after="0" w:line="320" w:lineRule="exact"/>
        <w:ind w:left="426" w:hanging="426"/>
        <w:rPr>
          <w:rStyle w:val="normaltextrun"/>
        </w:rPr>
      </w:pPr>
    </w:p>
    <w:p w14:paraId="0D2BFFF7" w14:textId="6AE71047" w:rsidR="001D068C" w:rsidRDefault="4ACF33E6" w:rsidP="00B4172E">
      <w:pPr>
        <w:pStyle w:val="NumberedlistHTA"/>
        <w:spacing w:after="0" w:line="320" w:lineRule="exact"/>
        <w:ind w:left="426" w:hanging="426"/>
        <w:rPr>
          <w:rStyle w:val="normaltextrun"/>
        </w:rPr>
      </w:pPr>
      <w:r w:rsidRPr="7F4DEF86">
        <w:rPr>
          <w:rStyle w:val="normaltextrun"/>
        </w:rPr>
        <w:t>D</w:t>
      </w:r>
      <w:r w:rsidR="13130F5D" w:rsidRPr="7F4DEF86">
        <w:rPr>
          <w:rStyle w:val="normaltextrun"/>
        </w:rPr>
        <w:t>uring</w:t>
      </w:r>
      <w:r w:rsidR="48461267" w:rsidRPr="7F4DEF86">
        <w:rPr>
          <w:rStyle w:val="normaltextrun"/>
        </w:rPr>
        <w:t xml:space="preserve"> Quarter 4 a </w:t>
      </w:r>
      <w:r w:rsidR="505FFC0D" w:rsidRPr="7F4DEF86">
        <w:rPr>
          <w:rStyle w:val="normaltextrun"/>
        </w:rPr>
        <w:t xml:space="preserve">living organ donation </w:t>
      </w:r>
      <w:r w:rsidR="17695DF8" w:rsidRPr="7F4DEF86">
        <w:rPr>
          <w:rStyle w:val="normaltextrun"/>
        </w:rPr>
        <w:t>that had been referred to the HTA for consideration</w:t>
      </w:r>
      <w:r w:rsidR="2B4AB854" w:rsidRPr="7F4DEF86">
        <w:rPr>
          <w:rStyle w:val="normaltextrun"/>
        </w:rPr>
        <w:t xml:space="preserve"> </w:t>
      </w:r>
      <w:r w:rsidR="286490C8" w:rsidRPr="7F4DEF86">
        <w:rPr>
          <w:rStyle w:val="normaltextrun"/>
        </w:rPr>
        <w:t>took place</w:t>
      </w:r>
      <w:r w:rsidR="3AAD1B48" w:rsidRPr="7F4DEF86">
        <w:rPr>
          <w:rStyle w:val="normaltextrun"/>
        </w:rPr>
        <w:t xml:space="preserve"> </w:t>
      </w:r>
      <w:r w:rsidR="39E96425" w:rsidRPr="7F4DEF86">
        <w:rPr>
          <w:rStyle w:val="normaltextrun"/>
        </w:rPr>
        <w:t xml:space="preserve">before </w:t>
      </w:r>
      <w:r w:rsidR="2BE899E7" w:rsidRPr="7F4DEF86">
        <w:rPr>
          <w:rStyle w:val="normaltextrun"/>
        </w:rPr>
        <w:t>HTA approval ha</w:t>
      </w:r>
      <w:r w:rsidR="39E96425" w:rsidRPr="7F4DEF86">
        <w:rPr>
          <w:rStyle w:val="normaltextrun"/>
        </w:rPr>
        <w:t>d</w:t>
      </w:r>
      <w:r w:rsidR="2BE899E7" w:rsidRPr="7F4DEF86">
        <w:rPr>
          <w:rStyle w:val="normaltextrun"/>
        </w:rPr>
        <w:t xml:space="preserve"> been given. </w:t>
      </w:r>
      <w:r w:rsidR="21C911D9" w:rsidRPr="7F4DEF86">
        <w:rPr>
          <w:rStyle w:val="normaltextrun"/>
        </w:rPr>
        <w:t>Whilst t</w:t>
      </w:r>
      <w:r w:rsidR="2B46FBD6" w:rsidRPr="7F4DEF86">
        <w:rPr>
          <w:rStyle w:val="normaltextrun"/>
        </w:rPr>
        <w:t xml:space="preserve">he HTA </w:t>
      </w:r>
      <w:r w:rsidR="39E96425" w:rsidRPr="7F4DEF86">
        <w:rPr>
          <w:rStyle w:val="normaltextrun"/>
        </w:rPr>
        <w:t>approv</w:t>
      </w:r>
      <w:r w:rsidR="2B46FBD6" w:rsidRPr="7F4DEF86">
        <w:rPr>
          <w:rStyle w:val="normaltextrun"/>
        </w:rPr>
        <w:t xml:space="preserve">ed the transplant </w:t>
      </w:r>
      <w:r w:rsidR="39E96425" w:rsidRPr="7F4DEF86">
        <w:rPr>
          <w:rStyle w:val="normaltextrun"/>
        </w:rPr>
        <w:t>retrospectively</w:t>
      </w:r>
      <w:r w:rsidR="5C99D937" w:rsidRPr="7F4DEF86">
        <w:rPr>
          <w:rStyle w:val="normaltextrun"/>
        </w:rPr>
        <w:t>, t</w:t>
      </w:r>
      <w:r w:rsidR="146071BF" w:rsidRPr="7F4DEF86">
        <w:rPr>
          <w:rStyle w:val="normaltextrun"/>
        </w:rPr>
        <w:t>h</w:t>
      </w:r>
      <w:r w:rsidR="00538D53" w:rsidRPr="7F4DEF86">
        <w:rPr>
          <w:rStyle w:val="normaltextrun"/>
        </w:rPr>
        <w:t xml:space="preserve">e </w:t>
      </w:r>
      <w:r w:rsidR="20082D95" w:rsidRPr="7F4DEF86">
        <w:rPr>
          <w:rStyle w:val="normaltextrun"/>
        </w:rPr>
        <w:t xml:space="preserve">facts and circumstances that led to </w:t>
      </w:r>
      <w:r w:rsidR="00538D53" w:rsidRPr="7F4DEF86">
        <w:rPr>
          <w:rStyle w:val="normaltextrun"/>
        </w:rPr>
        <w:t xml:space="preserve">the hospital </w:t>
      </w:r>
      <w:r w:rsidR="20082D95" w:rsidRPr="7F4DEF86">
        <w:rPr>
          <w:rStyle w:val="normaltextrun"/>
        </w:rPr>
        <w:t xml:space="preserve">undertaking the transplant </w:t>
      </w:r>
      <w:r w:rsidR="00538D53" w:rsidRPr="7F4DEF86">
        <w:rPr>
          <w:rStyle w:val="normaltextrun"/>
        </w:rPr>
        <w:t xml:space="preserve">prior to </w:t>
      </w:r>
      <w:r w:rsidR="20082D95" w:rsidRPr="7F4DEF86">
        <w:rPr>
          <w:rStyle w:val="normaltextrun"/>
        </w:rPr>
        <w:t xml:space="preserve">obtaining HTA </w:t>
      </w:r>
      <w:r w:rsidR="5E8EFD6B" w:rsidRPr="7F4DEF86">
        <w:rPr>
          <w:rStyle w:val="normaltextrun"/>
        </w:rPr>
        <w:t>approval is</w:t>
      </w:r>
      <w:r w:rsidR="035DD390" w:rsidRPr="7F4DEF86">
        <w:rPr>
          <w:rStyle w:val="normaltextrun"/>
        </w:rPr>
        <w:t xml:space="preserve"> </w:t>
      </w:r>
      <w:r w:rsidR="03B3B916" w:rsidRPr="7F4DEF86">
        <w:rPr>
          <w:rStyle w:val="normaltextrun"/>
        </w:rPr>
        <w:t xml:space="preserve">being </w:t>
      </w:r>
      <w:r w:rsidR="2BE899E7" w:rsidRPr="7F4DEF86">
        <w:rPr>
          <w:rStyle w:val="normaltextrun"/>
        </w:rPr>
        <w:t>investigat</w:t>
      </w:r>
      <w:r w:rsidR="03B3B916" w:rsidRPr="7F4DEF86">
        <w:rPr>
          <w:rStyle w:val="normaltextrun"/>
        </w:rPr>
        <w:t>ed</w:t>
      </w:r>
      <w:r w:rsidR="146071BF" w:rsidRPr="7F4DEF86">
        <w:rPr>
          <w:rStyle w:val="normaltextrun"/>
        </w:rPr>
        <w:t xml:space="preserve"> by the HTA and the hospital concerned</w:t>
      </w:r>
      <w:r w:rsidR="035DD390" w:rsidRPr="7F4DEF86">
        <w:rPr>
          <w:rStyle w:val="normaltextrun"/>
        </w:rPr>
        <w:t>.</w:t>
      </w:r>
    </w:p>
    <w:p w14:paraId="416DA416" w14:textId="77777777" w:rsidR="00263B72" w:rsidRDefault="00263B72" w:rsidP="00B4172E">
      <w:pPr>
        <w:pStyle w:val="NumberedlistHTA"/>
        <w:numPr>
          <w:ilvl w:val="0"/>
          <w:numId w:val="0"/>
        </w:numPr>
        <w:spacing w:after="0" w:line="320" w:lineRule="exact"/>
        <w:ind w:left="426" w:hanging="426"/>
        <w:rPr>
          <w:rStyle w:val="normaltextrun"/>
        </w:rPr>
      </w:pPr>
    </w:p>
    <w:p w14:paraId="6A6DA6F6" w14:textId="77777777" w:rsidR="00263B72" w:rsidRDefault="311C1B85" w:rsidP="00B4172E">
      <w:pPr>
        <w:pStyle w:val="NumberedlistHTA"/>
        <w:spacing w:after="0" w:line="320" w:lineRule="exact"/>
        <w:ind w:left="426" w:hanging="426"/>
        <w:rPr>
          <w:color w:val="2B2B2B"/>
        </w:rPr>
      </w:pPr>
      <w:r w:rsidRPr="7F4DEF86">
        <w:rPr>
          <w:rStyle w:val="normaltextrun"/>
        </w:rPr>
        <w:t xml:space="preserve">The </w:t>
      </w:r>
      <w:r w:rsidR="451FD338" w:rsidRPr="7F4DEF86">
        <w:rPr>
          <w:rStyle w:val="normaltextrun"/>
        </w:rPr>
        <w:t xml:space="preserve">HTA </w:t>
      </w:r>
      <w:r w:rsidR="6C78CF3D" w:rsidRPr="7F4DEF86">
        <w:rPr>
          <w:rStyle w:val="normaltextrun"/>
        </w:rPr>
        <w:t>w</w:t>
      </w:r>
      <w:r w:rsidR="4F1744F2" w:rsidRPr="7F4DEF86">
        <w:rPr>
          <w:rStyle w:val="normaltextrun"/>
        </w:rPr>
        <w:t>as</w:t>
      </w:r>
      <w:r w:rsidR="4ADD9A53" w:rsidRPr="7F4DEF86">
        <w:rPr>
          <w:rStyle w:val="normaltextrun"/>
        </w:rPr>
        <w:t xml:space="preserve"> involved </w:t>
      </w:r>
      <w:r w:rsidR="4C1275D9" w:rsidRPr="7F4DEF86">
        <w:rPr>
          <w:rStyle w:val="normaltextrun"/>
        </w:rPr>
        <w:t xml:space="preserve">throughout Quarter 4 </w:t>
      </w:r>
      <w:r w:rsidR="4ADD9A53" w:rsidRPr="7F4DEF86">
        <w:rPr>
          <w:rStyle w:val="normaltextrun"/>
        </w:rPr>
        <w:t xml:space="preserve">in work to support </w:t>
      </w:r>
      <w:r w:rsidR="4F1744F2" w:rsidRPr="7F4DEF86">
        <w:rPr>
          <w:rStyle w:val="normaltextrun"/>
        </w:rPr>
        <w:t>a wider regulatory</w:t>
      </w:r>
      <w:r w:rsidR="4ADD9A53" w:rsidRPr="7F4DEF86">
        <w:rPr>
          <w:rStyle w:val="normaltextrun"/>
        </w:rPr>
        <w:t xml:space="preserve"> response to </w:t>
      </w:r>
      <w:r w:rsidR="78C43D97" w:rsidRPr="7F4DEF86">
        <w:rPr>
          <w:rStyle w:val="normaltextrun"/>
        </w:rPr>
        <w:t>c</w:t>
      </w:r>
      <w:r w:rsidR="78C43D97" w:rsidRPr="7F4DEF86">
        <w:rPr>
          <w:color w:val="2B2B2B"/>
        </w:rPr>
        <w:t xml:space="preserve">ontamination issues with certain perfusion fluids. </w:t>
      </w:r>
      <w:r w:rsidR="4C1275D9" w:rsidRPr="7F4DEF86">
        <w:rPr>
          <w:color w:val="2B2B2B"/>
        </w:rPr>
        <w:t xml:space="preserve">This required complex multi-agency activity, </w:t>
      </w:r>
      <w:r w:rsidR="2E927CF9" w:rsidRPr="7F4DEF86">
        <w:rPr>
          <w:color w:val="2B2B2B"/>
        </w:rPr>
        <w:t>involving the</w:t>
      </w:r>
      <w:r w:rsidR="78C43D97" w:rsidRPr="7F4DEF86">
        <w:rPr>
          <w:color w:val="2B2B2B"/>
        </w:rPr>
        <w:t xml:space="preserve"> Medicines </w:t>
      </w:r>
      <w:r w:rsidR="0DC21BFE" w:rsidRPr="7F4DEF86">
        <w:rPr>
          <w:color w:val="2B2B2B"/>
        </w:rPr>
        <w:t>&amp;</w:t>
      </w:r>
      <w:r w:rsidR="78C43D97" w:rsidRPr="7F4DEF86">
        <w:rPr>
          <w:color w:val="2B2B2B"/>
        </w:rPr>
        <w:t xml:space="preserve"> Healthcare products Regulatory Agency (MHRA</w:t>
      </w:r>
      <w:r w:rsidR="5E200F87" w:rsidRPr="7F4DEF86">
        <w:rPr>
          <w:color w:val="2B2B2B"/>
        </w:rPr>
        <w:t>)</w:t>
      </w:r>
      <w:r w:rsidR="2E927CF9" w:rsidRPr="7F4DEF86">
        <w:rPr>
          <w:color w:val="2B2B2B"/>
        </w:rPr>
        <w:t xml:space="preserve"> and others</w:t>
      </w:r>
      <w:r w:rsidR="5E200F87" w:rsidRPr="7F4DEF86">
        <w:rPr>
          <w:color w:val="2B2B2B"/>
        </w:rPr>
        <w:t>.</w:t>
      </w:r>
      <w:r w:rsidR="5160C6A1" w:rsidRPr="7F4DEF86">
        <w:rPr>
          <w:color w:val="2B2B2B"/>
        </w:rPr>
        <w:t xml:space="preserve"> Th</w:t>
      </w:r>
      <w:r w:rsidR="2E927CF9" w:rsidRPr="7F4DEF86">
        <w:rPr>
          <w:color w:val="2B2B2B"/>
        </w:rPr>
        <w:t>e</w:t>
      </w:r>
      <w:r w:rsidR="0DF9A274" w:rsidRPr="7F4DEF86">
        <w:rPr>
          <w:color w:val="2B2B2B"/>
        </w:rPr>
        <w:t xml:space="preserve"> HTA </w:t>
      </w:r>
      <w:r w:rsidR="5160C6A1" w:rsidRPr="7F4DEF86">
        <w:rPr>
          <w:color w:val="2B2B2B"/>
        </w:rPr>
        <w:t>issu</w:t>
      </w:r>
      <w:r w:rsidR="2E927CF9" w:rsidRPr="7F4DEF86">
        <w:rPr>
          <w:color w:val="2B2B2B"/>
        </w:rPr>
        <w:t>ed</w:t>
      </w:r>
      <w:r w:rsidR="0DF9A274" w:rsidRPr="7F4DEF86">
        <w:rPr>
          <w:color w:val="2B2B2B"/>
        </w:rPr>
        <w:t xml:space="preserve"> </w:t>
      </w:r>
      <w:r w:rsidR="2E927CF9" w:rsidRPr="7F4DEF86">
        <w:rPr>
          <w:color w:val="2B2B2B"/>
        </w:rPr>
        <w:t>a</w:t>
      </w:r>
      <w:r w:rsidR="5160C6A1" w:rsidRPr="7F4DEF86">
        <w:rPr>
          <w:color w:val="2B2B2B"/>
        </w:rPr>
        <w:t xml:space="preserve"> </w:t>
      </w:r>
      <w:r w:rsidR="4C473949" w:rsidRPr="7F4DEF86">
        <w:rPr>
          <w:color w:val="2B2B2B"/>
        </w:rPr>
        <w:t xml:space="preserve">Regulatory Alert and </w:t>
      </w:r>
      <w:r w:rsidR="2E927CF9" w:rsidRPr="7F4DEF86">
        <w:rPr>
          <w:color w:val="2B2B2B"/>
        </w:rPr>
        <w:t>a</w:t>
      </w:r>
      <w:r w:rsidR="4C473949" w:rsidRPr="7F4DEF86">
        <w:rPr>
          <w:color w:val="2B2B2B"/>
        </w:rPr>
        <w:t xml:space="preserve"> Regulatory Update </w:t>
      </w:r>
      <w:r w:rsidR="2E927CF9" w:rsidRPr="7F4DEF86">
        <w:rPr>
          <w:color w:val="2B2B2B"/>
        </w:rPr>
        <w:t xml:space="preserve">and </w:t>
      </w:r>
      <w:r w:rsidR="24A45E68" w:rsidRPr="7F4DEF86">
        <w:rPr>
          <w:color w:val="2B2B2B"/>
        </w:rPr>
        <w:t>continu</w:t>
      </w:r>
      <w:r w:rsidR="2E927CF9" w:rsidRPr="7F4DEF86">
        <w:rPr>
          <w:color w:val="2B2B2B"/>
        </w:rPr>
        <w:t>es</w:t>
      </w:r>
      <w:r w:rsidR="309A0BC2" w:rsidRPr="7F4DEF86">
        <w:rPr>
          <w:color w:val="2B2B2B"/>
        </w:rPr>
        <w:t xml:space="preserve"> to maintain a watching brief</w:t>
      </w:r>
      <w:r w:rsidR="6DE1C0EF" w:rsidRPr="7F4DEF86">
        <w:rPr>
          <w:color w:val="2B2B2B"/>
        </w:rPr>
        <w:t>.</w:t>
      </w:r>
    </w:p>
    <w:p w14:paraId="53560651" w14:textId="306694F7" w:rsidR="00B57DBB" w:rsidRPr="00BE2375" w:rsidRDefault="6DE1C0EF" w:rsidP="00B4172E">
      <w:pPr>
        <w:pStyle w:val="NumberedlistHTA"/>
        <w:numPr>
          <w:ilvl w:val="0"/>
          <w:numId w:val="0"/>
        </w:numPr>
        <w:spacing w:after="0" w:line="320" w:lineRule="exact"/>
        <w:ind w:left="426" w:hanging="426"/>
        <w:rPr>
          <w:color w:val="2B2B2B"/>
        </w:rPr>
      </w:pPr>
      <w:r w:rsidRPr="7F4DEF86">
        <w:rPr>
          <w:color w:val="2B2B2B"/>
        </w:rPr>
        <w:t xml:space="preserve"> </w:t>
      </w:r>
    </w:p>
    <w:p w14:paraId="15F5AAA6" w14:textId="122AA627" w:rsidR="007A42C8" w:rsidRDefault="65EF2F85" w:rsidP="00B4172E">
      <w:pPr>
        <w:pStyle w:val="NumberedlistHTA"/>
        <w:spacing w:after="0" w:line="320" w:lineRule="exact"/>
        <w:ind w:left="426" w:hanging="426"/>
        <w:rPr>
          <w:b/>
          <w:bCs/>
          <w:sz w:val="28"/>
          <w:szCs w:val="28"/>
        </w:rPr>
      </w:pPr>
      <w:r>
        <w:t>P</w:t>
      </w:r>
      <w:r w:rsidR="33B9644B">
        <w:t>ressure</w:t>
      </w:r>
      <w:r w:rsidR="0F264FD7">
        <w:t>s</w:t>
      </w:r>
      <w:r w:rsidR="33B9644B">
        <w:t xml:space="preserve"> on </w:t>
      </w:r>
      <w:r w:rsidR="4313A3B1">
        <w:t xml:space="preserve">mortuary </w:t>
      </w:r>
      <w:r w:rsidR="33B9644B">
        <w:t xml:space="preserve">capacity </w:t>
      </w:r>
      <w:r w:rsidR="27F79126">
        <w:t>last w</w:t>
      </w:r>
      <w:r w:rsidR="33B9644B">
        <w:t xml:space="preserve">inter led to an </w:t>
      </w:r>
      <w:r w:rsidR="4118DFB8">
        <w:t>increase in enquiries</w:t>
      </w:r>
      <w:r w:rsidR="33B9644B">
        <w:t xml:space="preserve"> and </w:t>
      </w:r>
      <w:r w:rsidR="6A851641">
        <w:t xml:space="preserve">in </w:t>
      </w:r>
      <w:r w:rsidR="33B9644B">
        <w:t>incidents</w:t>
      </w:r>
      <w:r w:rsidR="7EDED26E">
        <w:t xml:space="preserve"> reported to the HTA</w:t>
      </w:r>
      <w:r w:rsidR="6A851641">
        <w:t>. O</w:t>
      </w:r>
      <w:r w:rsidR="4118DFB8">
        <w:t xml:space="preserve">ne emergency </w:t>
      </w:r>
      <w:r w:rsidR="1B181669">
        <w:t xml:space="preserve">mortuary </w:t>
      </w:r>
      <w:r w:rsidR="4118DFB8">
        <w:t xml:space="preserve">licence </w:t>
      </w:r>
      <w:r w:rsidR="6A851641">
        <w:t>was</w:t>
      </w:r>
      <w:r w:rsidR="4118DFB8">
        <w:t xml:space="preserve"> issued </w:t>
      </w:r>
      <w:r w:rsidR="1B181669">
        <w:t xml:space="preserve">at short notice and </w:t>
      </w:r>
      <w:r w:rsidR="72CF7855">
        <w:t>several</w:t>
      </w:r>
      <w:r w:rsidR="1B181669">
        <w:t xml:space="preserve"> short-notice and </w:t>
      </w:r>
      <w:r w:rsidR="4118DFB8">
        <w:t xml:space="preserve">urgent </w:t>
      </w:r>
      <w:r w:rsidR="341E4619">
        <w:t xml:space="preserve">responsive </w:t>
      </w:r>
      <w:r w:rsidR="1B181669">
        <w:t xml:space="preserve">regulatory </w:t>
      </w:r>
      <w:r w:rsidR="341E4619">
        <w:t>acti</w:t>
      </w:r>
      <w:r w:rsidR="7EDED26E">
        <w:t>ons</w:t>
      </w:r>
      <w:r w:rsidR="0AEBC8EB">
        <w:t xml:space="preserve"> </w:t>
      </w:r>
      <w:r w:rsidR="67108758">
        <w:t xml:space="preserve">were </w:t>
      </w:r>
      <w:r w:rsidR="0AEBC8EB">
        <w:t>undertaken</w:t>
      </w:r>
      <w:r w:rsidR="341E4619">
        <w:t>.</w:t>
      </w:r>
      <w:r w:rsidR="4118DFB8">
        <w:t xml:space="preserve"> </w:t>
      </w:r>
      <w:r w:rsidR="722F9076">
        <w:t>A</w:t>
      </w:r>
      <w:r w:rsidR="4B02DF47">
        <w:t xml:space="preserve"> Regulatory Alert </w:t>
      </w:r>
      <w:r w:rsidR="722F9076">
        <w:t>was issued</w:t>
      </w:r>
      <w:r w:rsidR="4B02DF47">
        <w:t xml:space="preserve"> on </w:t>
      </w:r>
      <w:r w:rsidR="7FA953CD">
        <w:t xml:space="preserve">10 January 2023 </w:t>
      </w:r>
      <w:r w:rsidR="38C4125C">
        <w:t>to provide advice and guidance on managing mortuary capacity issues. Th</w:t>
      </w:r>
      <w:r w:rsidR="2109C637">
        <w:t>is</w:t>
      </w:r>
      <w:r w:rsidR="6E650CA5">
        <w:t xml:space="preserve"> topic </w:t>
      </w:r>
      <w:r w:rsidR="2109C637">
        <w:t>was also discussed</w:t>
      </w:r>
      <w:r w:rsidR="6E650CA5">
        <w:t xml:space="preserve"> at the</w:t>
      </w:r>
      <w:r w:rsidR="38C4125C">
        <w:t xml:space="preserve"> Post-Mortem Sector stakeholder engagement forum </w:t>
      </w:r>
      <w:r w:rsidR="3C5D419D">
        <w:t>on 6 February 2023.</w:t>
      </w:r>
    </w:p>
    <w:p w14:paraId="5E010CA3" w14:textId="6604ED3F" w:rsidR="00024ECA" w:rsidRDefault="00024ECA" w:rsidP="00B4172E">
      <w:pPr>
        <w:spacing w:before="0" w:after="0" w:line="320" w:lineRule="exact"/>
        <w:rPr>
          <w:rFonts w:ascii="Arial" w:hAnsi="Arial" w:cs="Arial"/>
          <w:sz w:val="24"/>
          <w:szCs w:val="24"/>
          <w:lang w:eastAsia="en-GB"/>
        </w:rPr>
      </w:pPr>
      <w:r>
        <w:br w:type="page"/>
      </w:r>
    </w:p>
    <w:p w14:paraId="660E7123" w14:textId="77777777" w:rsidR="007A42C8" w:rsidRDefault="007A42C8" w:rsidP="00B4172E">
      <w:pPr>
        <w:pStyle w:val="ListParagraph"/>
        <w:spacing w:line="320" w:lineRule="exact"/>
      </w:pPr>
    </w:p>
    <w:p w14:paraId="520B395D" w14:textId="2C7B6C47" w:rsidR="001B11A8" w:rsidRPr="00F20D56" w:rsidRDefault="197BD9AF" w:rsidP="00B4172E">
      <w:pPr>
        <w:pStyle w:val="NumberedlistHTA"/>
        <w:spacing w:after="0" w:line="320" w:lineRule="exact"/>
        <w:ind w:left="426" w:hanging="426"/>
        <w:rPr>
          <w:b/>
          <w:bCs/>
          <w:sz w:val="32"/>
          <w:szCs w:val="32"/>
        </w:rPr>
      </w:pPr>
      <w:r w:rsidRPr="00F20D56">
        <w:rPr>
          <w:b/>
          <w:bCs/>
          <w:sz w:val="32"/>
          <w:szCs w:val="32"/>
        </w:rPr>
        <w:t xml:space="preserve">Finance </w:t>
      </w:r>
    </w:p>
    <w:p w14:paraId="148D63B8" w14:textId="77777777" w:rsidR="00302D50" w:rsidRDefault="00302D50" w:rsidP="00B4172E">
      <w:pPr>
        <w:pStyle w:val="BodytextHTA"/>
        <w:spacing w:after="0" w:line="320" w:lineRule="exact"/>
        <w:ind w:left="426"/>
      </w:pPr>
      <w:r>
        <w:t>The table below is the summary position as at the 31 March 2023 (our financial year end). We have ended the year with a surplus over budget of £438k, below is the breakdown by exception of each component of this surplus.</w:t>
      </w:r>
    </w:p>
    <w:p w14:paraId="324A8689" w14:textId="77777777" w:rsidR="007C1C76" w:rsidRDefault="007C1C76" w:rsidP="00024ECA">
      <w:pPr>
        <w:pStyle w:val="BodytextHTA"/>
        <w:spacing w:after="0" w:line="240" w:lineRule="auto"/>
        <w:ind w:left="426"/>
      </w:pPr>
    </w:p>
    <w:p w14:paraId="62ECD102" w14:textId="77777777" w:rsidR="007C1C76" w:rsidRDefault="007C1C76" w:rsidP="00024ECA">
      <w:pPr>
        <w:pStyle w:val="BodytextHTA"/>
        <w:spacing w:after="0" w:line="240" w:lineRule="auto"/>
        <w:ind w:left="426"/>
      </w:pPr>
    </w:p>
    <w:p w14:paraId="0F375932" w14:textId="77777777" w:rsidR="00302D50" w:rsidRPr="00B21942" w:rsidRDefault="00302D50" w:rsidP="000D6644">
      <w:pPr>
        <w:pStyle w:val="NumberedlistHTA"/>
        <w:numPr>
          <w:ilvl w:val="0"/>
          <w:numId w:val="0"/>
        </w:numPr>
        <w:spacing w:after="160"/>
        <w:ind w:firstLine="426"/>
        <w:rPr>
          <w:b/>
        </w:rPr>
      </w:pPr>
      <w:r w:rsidRPr="00B21942">
        <w:rPr>
          <w:b/>
        </w:rPr>
        <w:t>Table 1: Summary income and Expenditure</w:t>
      </w:r>
    </w:p>
    <w:tbl>
      <w:tblPr>
        <w:tblStyle w:val="TableGrid"/>
        <w:tblW w:w="8171" w:type="dxa"/>
        <w:tblInd w:w="431" w:type="dxa"/>
        <w:tblLook w:val="04A0" w:firstRow="1" w:lastRow="0" w:firstColumn="1" w:lastColumn="0" w:noHBand="0" w:noVBand="1"/>
      </w:tblPr>
      <w:tblGrid>
        <w:gridCol w:w="2726"/>
        <w:gridCol w:w="1294"/>
        <w:gridCol w:w="1247"/>
        <w:gridCol w:w="1452"/>
        <w:gridCol w:w="1452"/>
      </w:tblGrid>
      <w:tr w:rsidR="004C1D39" w:rsidRPr="004C1D39" w14:paraId="33982BE2" w14:textId="77777777" w:rsidTr="000D6644">
        <w:trPr>
          <w:trHeight w:val="641"/>
        </w:trPr>
        <w:tc>
          <w:tcPr>
            <w:tcW w:w="0" w:type="auto"/>
            <w:tcBorders>
              <w:top w:val="nil"/>
              <w:left w:val="nil"/>
              <w:bottom w:val="nil"/>
              <w:right w:val="nil"/>
            </w:tcBorders>
            <w:shd w:val="clear" w:color="auto" w:fill="4E1965"/>
          </w:tcPr>
          <w:p w14:paraId="5965945A" w14:textId="34E2D42A" w:rsidR="00302D50" w:rsidRPr="004C1D39" w:rsidRDefault="00302D50" w:rsidP="005B2F9B">
            <w:pPr>
              <w:pStyle w:val="NumberedlistHTA"/>
              <w:numPr>
                <w:ilvl w:val="0"/>
                <w:numId w:val="0"/>
              </w:numPr>
              <w:spacing w:after="0"/>
              <w:jc w:val="right"/>
              <w:rPr>
                <w:b/>
                <w:bCs/>
                <w:color w:val="FFFFFF" w:themeColor="background1"/>
                <w:sz w:val="22"/>
                <w:szCs w:val="22"/>
              </w:rPr>
            </w:pPr>
          </w:p>
        </w:tc>
        <w:tc>
          <w:tcPr>
            <w:tcW w:w="0" w:type="auto"/>
            <w:tcBorders>
              <w:top w:val="nil"/>
              <w:left w:val="nil"/>
              <w:bottom w:val="nil"/>
              <w:right w:val="nil"/>
            </w:tcBorders>
            <w:shd w:val="clear" w:color="auto" w:fill="4E1965"/>
          </w:tcPr>
          <w:p w14:paraId="28F91B96" w14:textId="77777777" w:rsidR="00302D50" w:rsidRPr="004C1D39" w:rsidRDefault="00302D50" w:rsidP="005B2F9B">
            <w:pPr>
              <w:pStyle w:val="NumberedlistHTA"/>
              <w:numPr>
                <w:ilvl w:val="0"/>
                <w:numId w:val="0"/>
              </w:numPr>
              <w:spacing w:after="0"/>
              <w:jc w:val="right"/>
              <w:rPr>
                <w:b/>
                <w:bCs/>
                <w:color w:val="FFFFFF" w:themeColor="background1"/>
                <w:sz w:val="22"/>
                <w:szCs w:val="22"/>
              </w:rPr>
            </w:pPr>
            <w:r w:rsidRPr="004C1D39">
              <w:rPr>
                <w:b/>
                <w:bCs/>
                <w:color w:val="FFFFFF" w:themeColor="background1"/>
                <w:sz w:val="22"/>
                <w:szCs w:val="22"/>
              </w:rPr>
              <w:t>Actuals</w:t>
            </w:r>
          </w:p>
        </w:tc>
        <w:tc>
          <w:tcPr>
            <w:tcW w:w="0" w:type="auto"/>
            <w:tcBorders>
              <w:top w:val="nil"/>
              <w:left w:val="nil"/>
              <w:bottom w:val="nil"/>
              <w:right w:val="nil"/>
            </w:tcBorders>
            <w:shd w:val="clear" w:color="auto" w:fill="4E1965"/>
          </w:tcPr>
          <w:p w14:paraId="77A409A1" w14:textId="77777777" w:rsidR="00302D50" w:rsidRPr="004C1D39" w:rsidRDefault="00302D50" w:rsidP="005B2F9B">
            <w:pPr>
              <w:pStyle w:val="NumberedlistHTA"/>
              <w:numPr>
                <w:ilvl w:val="0"/>
                <w:numId w:val="0"/>
              </w:numPr>
              <w:spacing w:after="0"/>
              <w:jc w:val="right"/>
              <w:rPr>
                <w:b/>
                <w:bCs/>
                <w:color w:val="FFFFFF" w:themeColor="background1"/>
                <w:sz w:val="22"/>
                <w:szCs w:val="22"/>
              </w:rPr>
            </w:pPr>
            <w:r w:rsidRPr="004C1D39">
              <w:rPr>
                <w:b/>
                <w:bCs/>
                <w:color w:val="FFFFFF" w:themeColor="background1"/>
                <w:sz w:val="22"/>
                <w:szCs w:val="22"/>
              </w:rPr>
              <w:t>Budget</w:t>
            </w:r>
          </w:p>
        </w:tc>
        <w:tc>
          <w:tcPr>
            <w:tcW w:w="0" w:type="auto"/>
            <w:tcBorders>
              <w:top w:val="nil"/>
              <w:left w:val="nil"/>
              <w:bottom w:val="nil"/>
              <w:right w:val="nil"/>
            </w:tcBorders>
            <w:shd w:val="clear" w:color="auto" w:fill="4E1965"/>
          </w:tcPr>
          <w:p w14:paraId="6B1251E8" w14:textId="77777777" w:rsidR="00302D50" w:rsidRPr="004C1D39" w:rsidRDefault="00302D50" w:rsidP="005B2F9B">
            <w:pPr>
              <w:pStyle w:val="NumberedlistHTA"/>
              <w:numPr>
                <w:ilvl w:val="0"/>
                <w:numId w:val="0"/>
              </w:numPr>
              <w:spacing w:after="0"/>
              <w:jc w:val="right"/>
              <w:rPr>
                <w:b/>
                <w:bCs/>
                <w:color w:val="FFFFFF" w:themeColor="background1"/>
                <w:sz w:val="22"/>
                <w:szCs w:val="22"/>
              </w:rPr>
            </w:pPr>
            <w:r w:rsidRPr="004C1D39">
              <w:rPr>
                <w:b/>
                <w:bCs/>
                <w:color w:val="FFFFFF" w:themeColor="background1"/>
                <w:sz w:val="22"/>
                <w:szCs w:val="22"/>
              </w:rPr>
              <w:t xml:space="preserve">Variance </w:t>
            </w:r>
          </w:p>
          <w:p w14:paraId="38DD2B31" w14:textId="77777777" w:rsidR="00302D50" w:rsidRPr="004C1D39" w:rsidRDefault="00302D50" w:rsidP="005B2F9B">
            <w:pPr>
              <w:pStyle w:val="NumberedlistHTA"/>
              <w:numPr>
                <w:ilvl w:val="0"/>
                <w:numId w:val="0"/>
              </w:numPr>
              <w:spacing w:after="0"/>
              <w:jc w:val="center"/>
              <w:rPr>
                <w:b/>
                <w:bCs/>
                <w:color w:val="FFFFFF" w:themeColor="background1"/>
                <w:sz w:val="22"/>
                <w:szCs w:val="22"/>
              </w:rPr>
            </w:pPr>
            <w:r w:rsidRPr="004C1D39">
              <w:rPr>
                <w:b/>
                <w:bCs/>
                <w:color w:val="FFFFFF" w:themeColor="background1"/>
                <w:sz w:val="22"/>
                <w:szCs w:val="22"/>
              </w:rPr>
              <w:t>£</w:t>
            </w:r>
          </w:p>
        </w:tc>
        <w:tc>
          <w:tcPr>
            <w:tcW w:w="0" w:type="auto"/>
            <w:tcBorders>
              <w:top w:val="nil"/>
              <w:left w:val="nil"/>
              <w:bottom w:val="nil"/>
              <w:right w:val="nil"/>
            </w:tcBorders>
            <w:shd w:val="clear" w:color="auto" w:fill="4E1965"/>
          </w:tcPr>
          <w:p w14:paraId="17CEBEA9" w14:textId="77777777" w:rsidR="00302D50" w:rsidRPr="004C1D39" w:rsidRDefault="00302D50" w:rsidP="005B2F9B">
            <w:pPr>
              <w:pStyle w:val="NumberedlistHTA"/>
              <w:numPr>
                <w:ilvl w:val="0"/>
                <w:numId w:val="0"/>
              </w:numPr>
              <w:spacing w:after="0"/>
              <w:jc w:val="right"/>
              <w:rPr>
                <w:b/>
                <w:bCs/>
                <w:color w:val="FFFFFF" w:themeColor="background1"/>
                <w:sz w:val="22"/>
                <w:szCs w:val="22"/>
              </w:rPr>
            </w:pPr>
            <w:r w:rsidRPr="004C1D39">
              <w:rPr>
                <w:b/>
                <w:bCs/>
                <w:color w:val="FFFFFF" w:themeColor="background1"/>
                <w:sz w:val="22"/>
                <w:szCs w:val="22"/>
              </w:rPr>
              <w:t xml:space="preserve">Variance </w:t>
            </w:r>
          </w:p>
          <w:p w14:paraId="71751449" w14:textId="77777777" w:rsidR="00302D50" w:rsidRPr="004C1D39" w:rsidRDefault="00302D50" w:rsidP="005B2F9B">
            <w:pPr>
              <w:pStyle w:val="NumberedlistHTA"/>
              <w:numPr>
                <w:ilvl w:val="0"/>
                <w:numId w:val="0"/>
              </w:numPr>
              <w:spacing w:after="0"/>
              <w:jc w:val="center"/>
              <w:rPr>
                <w:b/>
                <w:bCs/>
                <w:color w:val="FFFFFF" w:themeColor="background1"/>
                <w:sz w:val="22"/>
                <w:szCs w:val="22"/>
              </w:rPr>
            </w:pPr>
            <w:r w:rsidRPr="004C1D39">
              <w:rPr>
                <w:b/>
                <w:bCs/>
                <w:color w:val="FFFFFF" w:themeColor="background1"/>
                <w:sz w:val="22"/>
                <w:szCs w:val="22"/>
              </w:rPr>
              <w:t>%</w:t>
            </w:r>
          </w:p>
        </w:tc>
      </w:tr>
      <w:tr w:rsidR="00302D50" w:rsidRPr="00C8798C" w14:paraId="3D792EFE" w14:textId="77777777" w:rsidTr="000D6644">
        <w:trPr>
          <w:trHeight w:val="416"/>
        </w:trPr>
        <w:tc>
          <w:tcPr>
            <w:tcW w:w="0" w:type="auto"/>
            <w:tcBorders>
              <w:top w:val="nil"/>
              <w:left w:val="nil"/>
              <w:bottom w:val="nil"/>
              <w:right w:val="nil"/>
            </w:tcBorders>
            <w:shd w:val="clear" w:color="auto" w:fill="E7EAF4"/>
          </w:tcPr>
          <w:p w14:paraId="6FD83E36" w14:textId="6E185106" w:rsidR="00302D50" w:rsidRPr="00C8798C" w:rsidRDefault="00302D50" w:rsidP="006A5363">
            <w:pPr>
              <w:pStyle w:val="NumberedlistHTA"/>
              <w:numPr>
                <w:ilvl w:val="0"/>
                <w:numId w:val="0"/>
              </w:numPr>
              <w:spacing w:after="160"/>
              <w:rPr>
                <w:b/>
                <w:bCs/>
                <w:sz w:val="22"/>
                <w:szCs w:val="22"/>
              </w:rPr>
            </w:pPr>
            <w:r w:rsidRPr="00C8798C">
              <w:rPr>
                <w:b/>
                <w:bCs/>
                <w:sz w:val="22"/>
                <w:szCs w:val="22"/>
              </w:rPr>
              <w:t>Income</w:t>
            </w:r>
          </w:p>
        </w:tc>
        <w:tc>
          <w:tcPr>
            <w:tcW w:w="0" w:type="auto"/>
            <w:tcBorders>
              <w:top w:val="nil"/>
              <w:left w:val="nil"/>
              <w:bottom w:val="nil"/>
              <w:right w:val="nil"/>
            </w:tcBorders>
            <w:shd w:val="clear" w:color="auto" w:fill="E7EAF4"/>
          </w:tcPr>
          <w:p w14:paraId="55D797E6" w14:textId="77777777" w:rsidR="00302D50" w:rsidRPr="00C8798C" w:rsidRDefault="00302D50" w:rsidP="006A5363">
            <w:pPr>
              <w:pStyle w:val="NumberedlistHTA"/>
              <w:numPr>
                <w:ilvl w:val="0"/>
                <w:numId w:val="0"/>
              </w:numPr>
              <w:spacing w:after="160"/>
              <w:rPr>
                <w:sz w:val="22"/>
                <w:szCs w:val="22"/>
              </w:rPr>
            </w:pPr>
          </w:p>
        </w:tc>
        <w:tc>
          <w:tcPr>
            <w:tcW w:w="0" w:type="auto"/>
            <w:tcBorders>
              <w:top w:val="nil"/>
              <w:left w:val="nil"/>
              <w:bottom w:val="nil"/>
              <w:right w:val="nil"/>
            </w:tcBorders>
            <w:shd w:val="clear" w:color="auto" w:fill="E7EAF4"/>
          </w:tcPr>
          <w:p w14:paraId="4AEB3D2D" w14:textId="77777777" w:rsidR="00302D50" w:rsidRPr="00C8798C" w:rsidRDefault="00302D50" w:rsidP="006A5363">
            <w:pPr>
              <w:pStyle w:val="NumberedlistHTA"/>
              <w:numPr>
                <w:ilvl w:val="0"/>
                <w:numId w:val="0"/>
              </w:numPr>
              <w:spacing w:after="160"/>
              <w:rPr>
                <w:sz w:val="22"/>
                <w:szCs w:val="22"/>
              </w:rPr>
            </w:pPr>
          </w:p>
        </w:tc>
        <w:tc>
          <w:tcPr>
            <w:tcW w:w="0" w:type="auto"/>
            <w:tcBorders>
              <w:top w:val="nil"/>
              <w:left w:val="nil"/>
              <w:bottom w:val="nil"/>
              <w:right w:val="nil"/>
            </w:tcBorders>
            <w:shd w:val="clear" w:color="auto" w:fill="E7EAF4"/>
          </w:tcPr>
          <w:p w14:paraId="3D96D365" w14:textId="77777777" w:rsidR="00302D50" w:rsidRPr="00C8798C" w:rsidRDefault="00302D50" w:rsidP="006A5363">
            <w:pPr>
              <w:pStyle w:val="NumberedlistHTA"/>
              <w:numPr>
                <w:ilvl w:val="0"/>
                <w:numId w:val="0"/>
              </w:numPr>
              <w:spacing w:after="160"/>
              <w:rPr>
                <w:sz w:val="22"/>
                <w:szCs w:val="22"/>
              </w:rPr>
            </w:pPr>
          </w:p>
        </w:tc>
        <w:tc>
          <w:tcPr>
            <w:tcW w:w="0" w:type="auto"/>
            <w:tcBorders>
              <w:top w:val="nil"/>
              <w:left w:val="nil"/>
              <w:bottom w:val="nil"/>
              <w:right w:val="nil"/>
            </w:tcBorders>
            <w:shd w:val="clear" w:color="auto" w:fill="E7EAF4"/>
          </w:tcPr>
          <w:p w14:paraId="5E38A0AE" w14:textId="77777777" w:rsidR="00302D50" w:rsidRPr="00C8798C" w:rsidRDefault="00302D50" w:rsidP="006A5363">
            <w:pPr>
              <w:pStyle w:val="NumberedlistHTA"/>
              <w:numPr>
                <w:ilvl w:val="0"/>
                <w:numId w:val="0"/>
              </w:numPr>
              <w:spacing w:after="160"/>
              <w:rPr>
                <w:sz w:val="22"/>
                <w:szCs w:val="22"/>
              </w:rPr>
            </w:pPr>
          </w:p>
        </w:tc>
      </w:tr>
      <w:tr w:rsidR="00302D50" w:rsidRPr="00A247A5" w14:paraId="7D5184E3" w14:textId="77777777" w:rsidTr="000D6644">
        <w:trPr>
          <w:trHeight w:val="401"/>
        </w:trPr>
        <w:tc>
          <w:tcPr>
            <w:tcW w:w="0" w:type="auto"/>
            <w:tcBorders>
              <w:top w:val="nil"/>
              <w:left w:val="nil"/>
              <w:bottom w:val="nil"/>
              <w:right w:val="nil"/>
            </w:tcBorders>
          </w:tcPr>
          <w:p w14:paraId="6D0CA2CF" w14:textId="615FF521" w:rsidR="00302D50" w:rsidRPr="00A247A5" w:rsidRDefault="00302D50" w:rsidP="006A5363">
            <w:pPr>
              <w:pStyle w:val="NumberedlistHTA"/>
              <w:numPr>
                <w:ilvl w:val="0"/>
                <w:numId w:val="0"/>
              </w:numPr>
              <w:spacing w:after="160"/>
              <w:rPr>
                <w:b/>
                <w:bCs/>
                <w:sz w:val="20"/>
                <w:szCs w:val="20"/>
              </w:rPr>
            </w:pPr>
            <w:r w:rsidRPr="00A247A5">
              <w:rPr>
                <w:b/>
                <w:bCs/>
                <w:sz w:val="20"/>
                <w:szCs w:val="20"/>
              </w:rPr>
              <w:t>Grant-in-aid</w:t>
            </w:r>
          </w:p>
        </w:tc>
        <w:tc>
          <w:tcPr>
            <w:tcW w:w="0" w:type="auto"/>
            <w:tcBorders>
              <w:top w:val="nil"/>
              <w:left w:val="nil"/>
              <w:bottom w:val="nil"/>
              <w:right w:val="nil"/>
            </w:tcBorders>
          </w:tcPr>
          <w:p w14:paraId="18CEC58E" w14:textId="77777777" w:rsidR="00302D50" w:rsidRPr="00A247A5" w:rsidRDefault="00302D50" w:rsidP="006A5363">
            <w:pPr>
              <w:pStyle w:val="NumberedlistHTA"/>
              <w:numPr>
                <w:ilvl w:val="0"/>
                <w:numId w:val="0"/>
              </w:numPr>
              <w:spacing w:after="160"/>
              <w:jc w:val="right"/>
              <w:rPr>
                <w:b/>
                <w:bCs/>
                <w:sz w:val="20"/>
                <w:szCs w:val="20"/>
              </w:rPr>
            </w:pPr>
            <w:r w:rsidRPr="00A247A5">
              <w:rPr>
                <w:b/>
                <w:bCs/>
                <w:sz w:val="20"/>
                <w:szCs w:val="20"/>
              </w:rPr>
              <w:t>814</w:t>
            </w:r>
          </w:p>
        </w:tc>
        <w:tc>
          <w:tcPr>
            <w:tcW w:w="0" w:type="auto"/>
            <w:tcBorders>
              <w:top w:val="nil"/>
              <w:left w:val="nil"/>
              <w:bottom w:val="nil"/>
              <w:right w:val="nil"/>
            </w:tcBorders>
          </w:tcPr>
          <w:p w14:paraId="4F7D90DB" w14:textId="77777777" w:rsidR="00302D50" w:rsidRPr="00A247A5" w:rsidRDefault="00302D50" w:rsidP="006A5363">
            <w:pPr>
              <w:pStyle w:val="NumberedlistHTA"/>
              <w:numPr>
                <w:ilvl w:val="0"/>
                <w:numId w:val="0"/>
              </w:numPr>
              <w:spacing w:after="160"/>
              <w:jc w:val="right"/>
              <w:rPr>
                <w:b/>
                <w:bCs/>
                <w:sz w:val="20"/>
                <w:szCs w:val="20"/>
              </w:rPr>
            </w:pPr>
            <w:r w:rsidRPr="00A247A5">
              <w:rPr>
                <w:b/>
                <w:bCs/>
                <w:sz w:val="20"/>
                <w:szCs w:val="20"/>
              </w:rPr>
              <w:t>966</w:t>
            </w:r>
          </w:p>
        </w:tc>
        <w:tc>
          <w:tcPr>
            <w:tcW w:w="0" w:type="auto"/>
            <w:tcBorders>
              <w:top w:val="nil"/>
              <w:left w:val="nil"/>
              <w:bottom w:val="nil"/>
              <w:right w:val="nil"/>
            </w:tcBorders>
          </w:tcPr>
          <w:p w14:paraId="1F2B0B36" w14:textId="77777777" w:rsidR="00302D50" w:rsidRPr="00A247A5" w:rsidRDefault="00302D50" w:rsidP="006A5363">
            <w:pPr>
              <w:pStyle w:val="NumberedlistHTA"/>
              <w:numPr>
                <w:ilvl w:val="0"/>
                <w:numId w:val="0"/>
              </w:numPr>
              <w:spacing w:after="160"/>
              <w:jc w:val="right"/>
              <w:rPr>
                <w:b/>
                <w:bCs/>
                <w:sz w:val="20"/>
                <w:szCs w:val="20"/>
              </w:rPr>
            </w:pPr>
            <w:r w:rsidRPr="00A247A5">
              <w:rPr>
                <w:b/>
                <w:bCs/>
                <w:sz w:val="20"/>
                <w:szCs w:val="20"/>
              </w:rPr>
              <w:t>(152)</w:t>
            </w:r>
          </w:p>
        </w:tc>
        <w:tc>
          <w:tcPr>
            <w:tcW w:w="0" w:type="auto"/>
            <w:tcBorders>
              <w:top w:val="nil"/>
              <w:left w:val="nil"/>
              <w:bottom w:val="nil"/>
              <w:right w:val="nil"/>
            </w:tcBorders>
          </w:tcPr>
          <w:p w14:paraId="5159CE70" w14:textId="77777777" w:rsidR="00302D50" w:rsidRPr="00A247A5" w:rsidRDefault="00302D50" w:rsidP="006A5363">
            <w:pPr>
              <w:pStyle w:val="NumberedlistHTA"/>
              <w:numPr>
                <w:ilvl w:val="0"/>
                <w:numId w:val="0"/>
              </w:numPr>
              <w:spacing w:after="160"/>
              <w:jc w:val="right"/>
              <w:rPr>
                <w:b/>
                <w:bCs/>
                <w:sz w:val="20"/>
                <w:szCs w:val="20"/>
              </w:rPr>
            </w:pPr>
            <w:r w:rsidRPr="00A247A5">
              <w:rPr>
                <w:b/>
                <w:bCs/>
                <w:sz w:val="20"/>
                <w:szCs w:val="20"/>
              </w:rPr>
              <w:t>(15.73%)</w:t>
            </w:r>
          </w:p>
        </w:tc>
      </w:tr>
      <w:tr w:rsidR="00FF1323" w:rsidRPr="00A247A5" w14:paraId="27D92E49" w14:textId="77777777" w:rsidTr="000D6644">
        <w:trPr>
          <w:trHeight w:val="401"/>
        </w:trPr>
        <w:tc>
          <w:tcPr>
            <w:tcW w:w="0" w:type="auto"/>
            <w:tcBorders>
              <w:top w:val="nil"/>
              <w:left w:val="nil"/>
              <w:bottom w:val="nil"/>
              <w:right w:val="nil"/>
            </w:tcBorders>
            <w:shd w:val="clear" w:color="auto" w:fill="E7EAF4"/>
          </w:tcPr>
          <w:p w14:paraId="3B63EF60" w14:textId="77777777" w:rsidR="00302D50" w:rsidRPr="00A247A5" w:rsidRDefault="00302D50" w:rsidP="005B2F9B">
            <w:pPr>
              <w:pStyle w:val="NumberedlistHTA"/>
              <w:numPr>
                <w:ilvl w:val="0"/>
                <w:numId w:val="0"/>
              </w:numPr>
              <w:spacing w:after="160"/>
              <w:rPr>
                <w:sz w:val="20"/>
                <w:szCs w:val="20"/>
              </w:rPr>
            </w:pPr>
            <w:r w:rsidRPr="00A247A5">
              <w:rPr>
                <w:sz w:val="20"/>
                <w:szCs w:val="20"/>
              </w:rPr>
              <w:t xml:space="preserve">Non-cash </w:t>
            </w:r>
          </w:p>
        </w:tc>
        <w:tc>
          <w:tcPr>
            <w:tcW w:w="0" w:type="auto"/>
            <w:tcBorders>
              <w:top w:val="nil"/>
              <w:left w:val="nil"/>
              <w:bottom w:val="nil"/>
              <w:right w:val="nil"/>
            </w:tcBorders>
            <w:shd w:val="clear" w:color="auto" w:fill="E7EAF4"/>
          </w:tcPr>
          <w:p w14:paraId="03E319E9" w14:textId="77777777" w:rsidR="00302D50" w:rsidRPr="00A247A5" w:rsidRDefault="00302D50" w:rsidP="005B2F9B">
            <w:pPr>
              <w:pStyle w:val="NumberedlistHTA"/>
              <w:numPr>
                <w:ilvl w:val="0"/>
                <w:numId w:val="0"/>
              </w:numPr>
              <w:spacing w:after="160"/>
              <w:jc w:val="right"/>
              <w:rPr>
                <w:sz w:val="20"/>
                <w:szCs w:val="20"/>
              </w:rPr>
            </w:pPr>
            <w:r w:rsidRPr="00A247A5">
              <w:rPr>
                <w:sz w:val="20"/>
                <w:szCs w:val="20"/>
              </w:rPr>
              <w:t>78</w:t>
            </w:r>
          </w:p>
        </w:tc>
        <w:tc>
          <w:tcPr>
            <w:tcW w:w="0" w:type="auto"/>
            <w:tcBorders>
              <w:top w:val="nil"/>
              <w:left w:val="nil"/>
              <w:bottom w:val="nil"/>
              <w:right w:val="nil"/>
            </w:tcBorders>
            <w:shd w:val="clear" w:color="auto" w:fill="E7EAF4"/>
          </w:tcPr>
          <w:p w14:paraId="3A659F91" w14:textId="77777777" w:rsidR="00302D50" w:rsidRPr="00A247A5" w:rsidRDefault="00302D50" w:rsidP="005B2F9B">
            <w:pPr>
              <w:pStyle w:val="NumberedlistHTA"/>
              <w:numPr>
                <w:ilvl w:val="0"/>
                <w:numId w:val="0"/>
              </w:numPr>
              <w:spacing w:after="160"/>
              <w:jc w:val="right"/>
              <w:rPr>
                <w:sz w:val="20"/>
                <w:szCs w:val="20"/>
              </w:rPr>
            </w:pPr>
            <w:r w:rsidRPr="00A247A5">
              <w:rPr>
                <w:sz w:val="20"/>
                <w:szCs w:val="20"/>
              </w:rPr>
              <w:t>78</w:t>
            </w:r>
          </w:p>
        </w:tc>
        <w:tc>
          <w:tcPr>
            <w:tcW w:w="0" w:type="auto"/>
            <w:tcBorders>
              <w:top w:val="nil"/>
              <w:left w:val="nil"/>
              <w:bottom w:val="nil"/>
              <w:right w:val="nil"/>
            </w:tcBorders>
            <w:shd w:val="clear" w:color="auto" w:fill="E7EAF4"/>
          </w:tcPr>
          <w:p w14:paraId="67A73FAF" w14:textId="77777777" w:rsidR="00302D50" w:rsidRPr="00A247A5" w:rsidRDefault="00302D50" w:rsidP="005B2F9B">
            <w:pPr>
              <w:pStyle w:val="NumberedlistHTA"/>
              <w:numPr>
                <w:ilvl w:val="0"/>
                <w:numId w:val="0"/>
              </w:numPr>
              <w:spacing w:after="160"/>
              <w:jc w:val="right"/>
              <w:rPr>
                <w:sz w:val="20"/>
                <w:szCs w:val="20"/>
              </w:rPr>
            </w:pPr>
            <w:r w:rsidRPr="00A247A5">
              <w:rPr>
                <w:sz w:val="20"/>
                <w:szCs w:val="20"/>
              </w:rPr>
              <w:t>-</w:t>
            </w:r>
          </w:p>
        </w:tc>
        <w:tc>
          <w:tcPr>
            <w:tcW w:w="0" w:type="auto"/>
            <w:tcBorders>
              <w:top w:val="nil"/>
              <w:left w:val="nil"/>
              <w:bottom w:val="nil"/>
              <w:right w:val="nil"/>
            </w:tcBorders>
            <w:shd w:val="clear" w:color="auto" w:fill="E7EAF4"/>
          </w:tcPr>
          <w:p w14:paraId="16431DC1" w14:textId="77777777" w:rsidR="00302D50" w:rsidRPr="00A247A5" w:rsidRDefault="00302D50" w:rsidP="005B2F9B">
            <w:pPr>
              <w:pStyle w:val="NumberedlistHTA"/>
              <w:numPr>
                <w:ilvl w:val="0"/>
                <w:numId w:val="0"/>
              </w:numPr>
              <w:spacing w:after="160"/>
              <w:jc w:val="right"/>
              <w:rPr>
                <w:sz w:val="20"/>
                <w:szCs w:val="20"/>
              </w:rPr>
            </w:pPr>
            <w:r w:rsidRPr="00A247A5">
              <w:rPr>
                <w:sz w:val="20"/>
                <w:szCs w:val="20"/>
              </w:rPr>
              <w:t>-</w:t>
            </w:r>
          </w:p>
        </w:tc>
      </w:tr>
      <w:tr w:rsidR="00302D50" w:rsidRPr="00A247A5" w14:paraId="759EBABA" w14:textId="77777777" w:rsidTr="000D6644">
        <w:trPr>
          <w:trHeight w:val="401"/>
        </w:trPr>
        <w:tc>
          <w:tcPr>
            <w:tcW w:w="0" w:type="auto"/>
            <w:tcBorders>
              <w:top w:val="nil"/>
              <w:left w:val="nil"/>
              <w:bottom w:val="nil"/>
              <w:right w:val="nil"/>
            </w:tcBorders>
          </w:tcPr>
          <w:p w14:paraId="51D170B3" w14:textId="277011E2" w:rsidR="00302D50" w:rsidRPr="00A247A5" w:rsidRDefault="00302D50" w:rsidP="005B2F9B">
            <w:pPr>
              <w:pStyle w:val="NumberedlistHTA"/>
              <w:numPr>
                <w:ilvl w:val="0"/>
                <w:numId w:val="0"/>
              </w:numPr>
              <w:spacing w:after="160"/>
              <w:rPr>
                <w:sz w:val="20"/>
                <w:szCs w:val="20"/>
              </w:rPr>
            </w:pPr>
            <w:r w:rsidRPr="00A247A5">
              <w:rPr>
                <w:sz w:val="20"/>
                <w:szCs w:val="20"/>
              </w:rPr>
              <w:t>Licence Fees</w:t>
            </w:r>
          </w:p>
        </w:tc>
        <w:tc>
          <w:tcPr>
            <w:tcW w:w="0" w:type="auto"/>
            <w:tcBorders>
              <w:top w:val="nil"/>
              <w:left w:val="nil"/>
              <w:bottom w:val="nil"/>
              <w:right w:val="nil"/>
            </w:tcBorders>
          </w:tcPr>
          <w:p w14:paraId="6ADD561F" w14:textId="77777777" w:rsidR="00302D50" w:rsidRPr="00A247A5" w:rsidRDefault="00302D50" w:rsidP="005B2F9B">
            <w:pPr>
              <w:pStyle w:val="NumberedlistHTA"/>
              <w:numPr>
                <w:ilvl w:val="0"/>
                <w:numId w:val="0"/>
              </w:numPr>
              <w:spacing w:after="160"/>
              <w:jc w:val="right"/>
              <w:rPr>
                <w:sz w:val="20"/>
                <w:szCs w:val="20"/>
              </w:rPr>
            </w:pPr>
            <w:r w:rsidRPr="00A247A5">
              <w:rPr>
                <w:sz w:val="20"/>
                <w:szCs w:val="20"/>
              </w:rPr>
              <w:t>4,285</w:t>
            </w:r>
          </w:p>
        </w:tc>
        <w:tc>
          <w:tcPr>
            <w:tcW w:w="0" w:type="auto"/>
            <w:tcBorders>
              <w:top w:val="nil"/>
              <w:left w:val="nil"/>
              <w:bottom w:val="nil"/>
              <w:right w:val="nil"/>
            </w:tcBorders>
          </w:tcPr>
          <w:p w14:paraId="483DCDF6" w14:textId="77777777" w:rsidR="00302D50" w:rsidRPr="00A247A5" w:rsidRDefault="00302D50" w:rsidP="005B2F9B">
            <w:pPr>
              <w:pStyle w:val="NumberedlistHTA"/>
              <w:numPr>
                <w:ilvl w:val="0"/>
                <w:numId w:val="0"/>
              </w:numPr>
              <w:spacing w:after="160"/>
              <w:jc w:val="right"/>
              <w:rPr>
                <w:sz w:val="20"/>
                <w:szCs w:val="20"/>
              </w:rPr>
            </w:pPr>
            <w:r w:rsidRPr="00A247A5">
              <w:rPr>
                <w:sz w:val="20"/>
                <w:szCs w:val="20"/>
              </w:rPr>
              <w:t>4,146</w:t>
            </w:r>
          </w:p>
        </w:tc>
        <w:tc>
          <w:tcPr>
            <w:tcW w:w="0" w:type="auto"/>
            <w:tcBorders>
              <w:top w:val="nil"/>
              <w:left w:val="nil"/>
              <w:bottom w:val="nil"/>
              <w:right w:val="nil"/>
            </w:tcBorders>
          </w:tcPr>
          <w:p w14:paraId="06132306" w14:textId="3B26F7F7" w:rsidR="00302D50" w:rsidRPr="00A247A5" w:rsidRDefault="00302D50" w:rsidP="005B2F9B">
            <w:pPr>
              <w:pStyle w:val="NumberedlistHTA"/>
              <w:numPr>
                <w:ilvl w:val="0"/>
                <w:numId w:val="0"/>
              </w:numPr>
              <w:spacing w:after="160"/>
              <w:jc w:val="right"/>
              <w:rPr>
                <w:sz w:val="20"/>
                <w:szCs w:val="20"/>
              </w:rPr>
            </w:pPr>
            <w:r w:rsidRPr="00A247A5">
              <w:rPr>
                <w:sz w:val="20"/>
                <w:szCs w:val="20"/>
              </w:rPr>
              <w:t>139</w:t>
            </w:r>
          </w:p>
        </w:tc>
        <w:tc>
          <w:tcPr>
            <w:tcW w:w="0" w:type="auto"/>
            <w:tcBorders>
              <w:top w:val="nil"/>
              <w:left w:val="nil"/>
              <w:bottom w:val="nil"/>
              <w:right w:val="nil"/>
            </w:tcBorders>
          </w:tcPr>
          <w:p w14:paraId="273349B0" w14:textId="77777777" w:rsidR="00302D50" w:rsidRPr="00A247A5" w:rsidRDefault="00302D50" w:rsidP="005B2F9B">
            <w:pPr>
              <w:pStyle w:val="NumberedlistHTA"/>
              <w:numPr>
                <w:ilvl w:val="0"/>
                <w:numId w:val="0"/>
              </w:numPr>
              <w:spacing w:after="160"/>
              <w:jc w:val="right"/>
              <w:rPr>
                <w:sz w:val="20"/>
                <w:szCs w:val="20"/>
              </w:rPr>
            </w:pPr>
            <w:r w:rsidRPr="00A247A5">
              <w:rPr>
                <w:sz w:val="20"/>
                <w:szCs w:val="20"/>
              </w:rPr>
              <w:t>3.35%</w:t>
            </w:r>
          </w:p>
        </w:tc>
      </w:tr>
      <w:tr w:rsidR="00302D50" w:rsidRPr="00A247A5" w14:paraId="5E57D156" w14:textId="77777777" w:rsidTr="000D6644">
        <w:trPr>
          <w:trHeight w:val="401"/>
        </w:trPr>
        <w:tc>
          <w:tcPr>
            <w:tcW w:w="0" w:type="auto"/>
            <w:tcBorders>
              <w:top w:val="nil"/>
              <w:left w:val="nil"/>
              <w:bottom w:val="single" w:sz="4" w:space="0" w:color="auto"/>
              <w:right w:val="nil"/>
            </w:tcBorders>
            <w:shd w:val="clear" w:color="auto" w:fill="E7EAF4"/>
          </w:tcPr>
          <w:p w14:paraId="656E70F2" w14:textId="77777777" w:rsidR="00302D50" w:rsidRPr="00A247A5" w:rsidRDefault="00302D50" w:rsidP="005B2F9B">
            <w:pPr>
              <w:pStyle w:val="NumberedlistHTA"/>
              <w:numPr>
                <w:ilvl w:val="0"/>
                <w:numId w:val="0"/>
              </w:numPr>
              <w:spacing w:after="160"/>
              <w:rPr>
                <w:sz w:val="20"/>
                <w:szCs w:val="20"/>
              </w:rPr>
            </w:pPr>
            <w:r w:rsidRPr="00A247A5">
              <w:rPr>
                <w:sz w:val="20"/>
                <w:szCs w:val="20"/>
              </w:rPr>
              <w:t>Other Income</w:t>
            </w:r>
          </w:p>
        </w:tc>
        <w:tc>
          <w:tcPr>
            <w:tcW w:w="0" w:type="auto"/>
            <w:tcBorders>
              <w:top w:val="nil"/>
              <w:left w:val="nil"/>
              <w:bottom w:val="single" w:sz="4" w:space="0" w:color="auto"/>
              <w:right w:val="nil"/>
            </w:tcBorders>
            <w:shd w:val="clear" w:color="auto" w:fill="E7EAF4"/>
          </w:tcPr>
          <w:p w14:paraId="58EFEC06" w14:textId="77777777" w:rsidR="00302D50" w:rsidRPr="00A247A5" w:rsidRDefault="00302D50" w:rsidP="005B2F9B">
            <w:pPr>
              <w:pStyle w:val="NumberedlistHTA"/>
              <w:numPr>
                <w:ilvl w:val="0"/>
                <w:numId w:val="0"/>
              </w:numPr>
              <w:spacing w:after="160"/>
              <w:jc w:val="right"/>
              <w:rPr>
                <w:sz w:val="20"/>
                <w:szCs w:val="20"/>
              </w:rPr>
            </w:pPr>
            <w:r w:rsidRPr="00A247A5">
              <w:rPr>
                <w:sz w:val="20"/>
                <w:szCs w:val="20"/>
              </w:rPr>
              <w:t>203</w:t>
            </w:r>
          </w:p>
        </w:tc>
        <w:tc>
          <w:tcPr>
            <w:tcW w:w="0" w:type="auto"/>
            <w:tcBorders>
              <w:top w:val="nil"/>
              <w:left w:val="nil"/>
              <w:bottom w:val="single" w:sz="4" w:space="0" w:color="auto"/>
              <w:right w:val="nil"/>
            </w:tcBorders>
            <w:shd w:val="clear" w:color="auto" w:fill="E7EAF4"/>
          </w:tcPr>
          <w:p w14:paraId="073E828B" w14:textId="77777777" w:rsidR="00302D50" w:rsidRPr="00A247A5" w:rsidRDefault="00302D50" w:rsidP="005B2F9B">
            <w:pPr>
              <w:pStyle w:val="NumberedlistHTA"/>
              <w:numPr>
                <w:ilvl w:val="0"/>
                <w:numId w:val="0"/>
              </w:numPr>
              <w:spacing w:after="160"/>
              <w:jc w:val="right"/>
              <w:rPr>
                <w:sz w:val="20"/>
                <w:szCs w:val="20"/>
              </w:rPr>
            </w:pPr>
            <w:r w:rsidRPr="00A247A5">
              <w:rPr>
                <w:sz w:val="20"/>
                <w:szCs w:val="20"/>
              </w:rPr>
              <w:t>191</w:t>
            </w:r>
          </w:p>
        </w:tc>
        <w:tc>
          <w:tcPr>
            <w:tcW w:w="0" w:type="auto"/>
            <w:tcBorders>
              <w:top w:val="nil"/>
              <w:left w:val="nil"/>
              <w:bottom w:val="single" w:sz="4" w:space="0" w:color="auto"/>
              <w:right w:val="nil"/>
            </w:tcBorders>
            <w:shd w:val="clear" w:color="auto" w:fill="E7EAF4"/>
          </w:tcPr>
          <w:p w14:paraId="0422B23E" w14:textId="77777777" w:rsidR="00302D50" w:rsidRPr="00A247A5" w:rsidRDefault="00302D50" w:rsidP="005B2F9B">
            <w:pPr>
              <w:pStyle w:val="NumberedlistHTA"/>
              <w:numPr>
                <w:ilvl w:val="0"/>
                <w:numId w:val="0"/>
              </w:numPr>
              <w:spacing w:after="160"/>
              <w:jc w:val="right"/>
              <w:rPr>
                <w:sz w:val="20"/>
                <w:szCs w:val="20"/>
              </w:rPr>
            </w:pPr>
            <w:r w:rsidRPr="00A247A5">
              <w:rPr>
                <w:sz w:val="20"/>
                <w:szCs w:val="20"/>
              </w:rPr>
              <w:t>12</w:t>
            </w:r>
          </w:p>
        </w:tc>
        <w:tc>
          <w:tcPr>
            <w:tcW w:w="0" w:type="auto"/>
            <w:tcBorders>
              <w:top w:val="nil"/>
              <w:left w:val="nil"/>
              <w:bottom w:val="single" w:sz="4" w:space="0" w:color="auto"/>
              <w:right w:val="nil"/>
            </w:tcBorders>
            <w:shd w:val="clear" w:color="auto" w:fill="E7EAF4"/>
          </w:tcPr>
          <w:p w14:paraId="421C9A4A" w14:textId="77777777" w:rsidR="00302D50" w:rsidRPr="00A247A5" w:rsidRDefault="00302D50" w:rsidP="005B2F9B">
            <w:pPr>
              <w:pStyle w:val="NumberedlistHTA"/>
              <w:numPr>
                <w:ilvl w:val="0"/>
                <w:numId w:val="0"/>
              </w:numPr>
              <w:spacing w:after="160"/>
              <w:jc w:val="right"/>
              <w:rPr>
                <w:sz w:val="20"/>
                <w:szCs w:val="20"/>
              </w:rPr>
            </w:pPr>
            <w:r w:rsidRPr="00A247A5">
              <w:rPr>
                <w:sz w:val="20"/>
                <w:szCs w:val="20"/>
              </w:rPr>
              <w:t>6.28%</w:t>
            </w:r>
          </w:p>
        </w:tc>
      </w:tr>
      <w:tr w:rsidR="00302D50" w:rsidRPr="007B6A63" w14:paraId="75ED587A" w14:textId="77777777" w:rsidTr="000D6644">
        <w:trPr>
          <w:trHeight w:val="432"/>
        </w:trPr>
        <w:tc>
          <w:tcPr>
            <w:tcW w:w="0" w:type="auto"/>
            <w:tcBorders>
              <w:top w:val="single" w:sz="4" w:space="0" w:color="auto"/>
              <w:left w:val="nil"/>
              <w:bottom w:val="single" w:sz="4" w:space="0" w:color="auto"/>
              <w:right w:val="nil"/>
            </w:tcBorders>
          </w:tcPr>
          <w:p w14:paraId="6A06C2E1" w14:textId="77777777" w:rsidR="00302D50" w:rsidRPr="007B6A63" w:rsidRDefault="00302D50" w:rsidP="005B2F9B">
            <w:pPr>
              <w:pStyle w:val="NumberedlistHTA"/>
              <w:numPr>
                <w:ilvl w:val="0"/>
                <w:numId w:val="0"/>
              </w:numPr>
              <w:spacing w:after="160"/>
              <w:rPr>
                <w:b/>
                <w:bCs/>
                <w:sz w:val="22"/>
                <w:szCs w:val="22"/>
              </w:rPr>
            </w:pPr>
            <w:r w:rsidRPr="007B6A63">
              <w:rPr>
                <w:b/>
                <w:bCs/>
                <w:sz w:val="22"/>
                <w:szCs w:val="22"/>
              </w:rPr>
              <w:t>Total Income</w:t>
            </w:r>
          </w:p>
        </w:tc>
        <w:tc>
          <w:tcPr>
            <w:tcW w:w="0" w:type="auto"/>
            <w:tcBorders>
              <w:top w:val="single" w:sz="4" w:space="0" w:color="auto"/>
              <w:left w:val="nil"/>
              <w:bottom w:val="single" w:sz="4" w:space="0" w:color="auto"/>
              <w:right w:val="nil"/>
            </w:tcBorders>
          </w:tcPr>
          <w:p w14:paraId="206F2E7F" w14:textId="77777777" w:rsidR="00302D50" w:rsidRPr="007B6A63" w:rsidRDefault="00302D50" w:rsidP="005B2F9B">
            <w:pPr>
              <w:pStyle w:val="NumberedlistHTA"/>
              <w:numPr>
                <w:ilvl w:val="0"/>
                <w:numId w:val="0"/>
              </w:numPr>
              <w:spacing w:after="160"/>
              <w:jc w:val="right"/>
              <w:rPr>
                <w:b/>
                <w:bCs/>
                <w:sz w:val="22"/>
                <w:szCs w:val="22"/>
              </w:rPr>
            </w:pPr>
            <w:r w:rsidRPr="007B6A63">
              <w:rPr>
                <w:b/>
                <w:bCs/>
                <w:sz w:val="22"/>
                <w:szCs w:val="22"/>
              </w:rPr>
              <w:t>5,380</w:t>
            </w:r>
          </w:p>
        </w:tc>
        <w:tc>
          <w:tcPr>
            <w:tcW w:w="0" w:type="auto"/>
            <w:tcBorders>
              <w:top w:val="single" w:sz="4" w:space="0" w:color="auto"/>
              <w:left w:val="nil"/>
              <w:bottom w:val="single" w:sz="4" w:space="0" w:color="auto"/>
              <w:right w:val="nil"/>
            </w:tcBorders>
          </w:tcPr>
          <w:p w14:paraId="6457822B" w14:textId="77777777" w:rsidR="00302D50" w:rsidRPr="007B6A63" w:rsidRDefault="00302D50" w:rsidP="005B2F9B">
            <w:pPr>
              <w:pStyle w:val="NumberedlistHTA"/>
              <w:numPr>
                <w:ilvl w:val="0"/>
                <w:numId w:val="0"/>
              </w:numPr>
              <w:spacing w:after="160"/>
              <w:jc w:val="right"/>
              <w:rPr>
                <w:b/>
                <w:bCs/>
                <w:sz w:val="22"/>
                <w:szCs w:val="22"/>
              </w:rPr>
            </w:pPr>
            <w:r w:rsidRPr="007B6A63">
              <w:rPr>
                <w:b/>
                <w:bCs/>
                <w:sz w:val="22"/>
                <w:szCs w:val="22"/>
              </w:rPr>
              <w:t>5,381</w:t>
            </w:r>
          </w:p>
        </w:tc>
        <w:tc>
          <w:tcPr>
            <w:tcW w:w="0" w:type="auto"/>
            <w:tcBorders>
              <w:top w:val="single" w:sz="4" w:space="0" w:color="auto"/>
              <w:left w:val="nil"/>
              <w:bottom w:val="single" w:sz="4" w:space="0" w:color="auto"/>
              <w:right w:val="nil"/>
            </w:tcBorders>
          </w:tcPr>
          <w:p w14:paraId="0C29A921" w14:textId="77777777" w:rsidR="00302D50" w:rsidRPr="007B6A63" w:rsidRDefault="00302D50" w:rsidP="005B2F9B">
            <w:pPr>
              <w:pStyle w:val="NumberedlistHTA"/>
              <w:numPr>
                <w:ilvl w:val="0"/>
                <w:numId w:val="0"/>
              </w:numPr>
              <w:spacing w:after="160"/>
              <w:jc w:val="right"/>
              <w:rPr>
                <w:b/>
                <w:bCs/>
                <w:sz w:val="22"/>
                <w:szCs w:val="22"/>
              </w:rPr>
            </w:pPr>
            <w:r w:rsidRPr="007B6A63">
              <w:rPr>
                <w:b/>
                <w:bCs/>
                <w:sz w:val="22"/>
                <w:szCs w:val="22"/>
              </w:rPr>
              <w:t>(1)</w:t>
            </w:r>
          </w:p>
        </w:tc>
        <w:tc>
          <w:tcPr>
            <w:tcW w:w="0" w:type="auto"/>
            <w:tcBorders>
              <w:top w:val="single" w:sz="4" w:space="0" w:color="auto"/>
              <w:left w:val="nil"/>
              <w:bottom w:val="single" w:sz="4" w:space="0" w:color="auto"/>
              <w:right w:val="nil"/>
            </w:tcBorders>
          </w:tcPr>
          <w:p w14:paraId="354A13FB" w14:textId="77777777" w:rsidR="00302D50" w:rsidRPr="007B6A63" w:rsidRDefault="00302D50" w:rsidP="005B2F9B">
            <w:pPr>
              <w:pStyle w:val="NumberedlistHTA"/>
              <w:numPr>
                <w:ilvl w:val="0"/>
                <w:numId w:val="0"/>
              </w:numPr>
              <w:spacing w:after="160"/>
              <w:jc w:val="right"/>
              <w:rPr>
                <w:b/>
                <w:bCs/>
                <w:sz w:val="22"/>
                <w:szCs w:val="22"/>
              </w:rPr>
            </w:pPr>
            <w:r w:rsidRPr="007B6A63">
              <w:rPr>
                <w:b/>
                <w:bCs/>
                <w:sz w:val="22"/>
                <w:szCs w:val="22"/>
              </w:rPr>
              <w:t>(0.02%)</w:t>
            </w:r>
          </w:p>
        </w:tc>
      </w:tr>
      <w:tr w:rsidR="00302D50" w:rsidRPr="00C8798C" w14:paraId="19848B68" w14:textId="77777777" w:rsidTr="000D6644">
        <w:trPr>
          <w:trHeight w:val="416"/>
        </w:trPr>
        <w:tc>
          <w:tcPr>
            <w:tcW w:w="0" w:type="auto"/>
            <w:tcBorders>
              <w:top w:val="single" w:sz="4" w:space="0" w:color="auto"/>
              <w:left w:val="nil"/>
              <w:bottom w:val="nil"/>
              <w:right w:val="nil"/>
            </w:tcBorders>
          </w:tcPr>
          <w:p w14:paraId="2D68276C" w14:textId="77777777" w:rsidR="00302D50" w:rsidRPr="00C8798C" w:rsidRDefault="00302D50" w:rsidP="005B2F9B">
            <w:pPr>
              <w:pStyle w:val="NumberedlistHTA"/>
              <w:numPr>
                <w:ilvl w:val="0"/>
                <w:numId w:val="0"/>
              </w:numPr>
              <w:spacing w:after="160"/>
              <w:rPr>
                <w:b/>
                <w:bCs/>
                <w:sz w:val="22"/>
                <w:szCs w:val="22"/>
              </w:rPr>
            </w:pPr>
            <w:r w:rsidRPr="00C8798C">
              <w:rPr>
                <w:b/>
                <w:bCs/>
                <w:sz w:val="22"/>
                <w:szCs w:val="22"/>
              </w:rPr>
              <w:t>Expenditure</w:t>
            </w:r>
          </w:p>
        </w:tc>
        <w:tc>
          <w:tcPr>
            <w:tcW w:w="0" w:type="auto"/>
            <w:tcBorders>
              <w:top w:val="single" w:sz="4" w:space="0" w:color="auto"/>
              <w:left w:val="nil"/>
              <w:bottom w:val="nil"/>
              <w:right w:val="nil"/>
            </w:tcBorders>
          </w:tcPr>
          <w:p w14:paraId="0FBD31AE" w14:textId="77777777" w:rsidR="00302D50" w:rsidRPr="00C8798C" w:rsidRDefault="00302D50" w:rsidP="005B2F9B">
            <w:pPr>
              <w:pStyle w:val="NumberedlistHTA"/>
              <w:numPr>
                <w:ilvl w:val="0"/>
                <w:numId w:val="0"/>
              </w:numPr>
              <w:spacing w:after="160"/>
              <w:jc w:val="right"/>
              <w:rPr>
                <w:b/>
                <w:bCs/>
                <w:sz w:val="22"/>
                <w:szCs w:val="22"/>
              </w:rPr>
            </w:pPr>
          </w:p>
        </w:tc>
        <w:tc>
          <w:tcPr>
            <w:tcW w:w="0" w:type="auto"/>
            <w:tcBorders>
              <w:top w:val="single" w:sz="4" w:space="0" w:color="auto"/>
              <w:left w:val="nil"/>
              <w:bottom w:val="nil"/>
              <w:right w:val="nil"/>
            </w:tcBorders>
          </w:tcPr>
          <w:p w14:paraId="682792B6" w14:textId="77777777" w:rsidR="00302D50" w:rsidRPr="00C8798C" w:rsidRDefault="00302D50" w:rsidP="005B2F9B">
            <w:pPr>
              <w:pStyle w:val="NumberedlistHTA"/>
              <w:numPr>
                <w:ilvl w:val="0"/>
                <w:numId w:val="0"/>
              </w:numPr>
              <w:spacing w:after="160"/>
              <w:jc w:val="right"/>
              <w:rPr>
                <w:b/>
                <w:bCs/>
                <w:sz w:val="22"/>
                <w:szCs w:val="22"/>
              </w:rPr>
            </w:pPr>
          </w:p>
        </w:tc>
        <w:tc>
          <w:tcPr>
            <w:tcW w:w="0" w:type="auto"/>
            <w:tcBorders>
              <w:top w:val="single" w:sz="4" w:space="0" w:color="auto"/>
              <w:left w:val="nil"/>
              <w:bottom w:val="nil"/>
              <w:right w:val="nil"/>
            </w:tcBorders>
          </w:tcPr>
          <w:p w14:paraId="51343A4A" w14:textId="77777777" w:rsidR="00302D50" w:rsidRPr="00C8798C" w:rsidRDefault="00302D50" w:rsidP="005B2F9B">
            <w:pPr>
              <w:pStyle w:val="NumberedlistHTA"/>
              <w:numPr>
                <w:ilvl w:val="0"/>
                <w:numId w:val="0"/>
              </w:numPr>
              <w:spacing w:after="160"/>
              <w:jc w:val="right"/>
              <w:rPr>
                <w:b/>
                <w:bCs/>
                <w:sz w:val="22"/>
                <w:szCs w:val="22"/>
              </w:rPr>
            </w:pPr>
          </w:p>
        </w:tc>
        <w:tc>
          <w:tcPr>
            <w:tcW w:w="0" w:type="auto"/>
            <w:tcBorders>
              <w:top w:val="single" w:sz="4" w:space="0" w:color="auto"/>
              <w:left w:val="nil"/>
              <w:bottom w:val="nil"/>
              <w:right w:val="nil"/>
            </w:tcBorders>
          </w:tcPr>
          <w:p w14:paraId="5BAD117B" w14:textId="77777777" w:rsidR="00302D50" w:rsidRPr="00C8798C" w:rsidRDefault="00302D50" w:rsidP="005B2F9B">
            <w:pPr>
              <w:pStyle w:val="NumberedlistHTA"/>
              <w:numPr>
                <w:ilvl w:val="0"/>
                <w:numId w:val="0"/>
              </w:numPr>
              <w:spacing w:after="160"/>
              <w:jc w:val="right"/>
              <w:rPr>
                <w:b/>
                <w:bCs/>
                <w:sz w:val="22"/>
                <w:szCs w:val="22"/>
              </w:rPr>
            </w:pPr>
          </w:p>
        </w:tc>
      </w:tr>
      <w:tr w:rsidR="00302D50" w:rsidRPr="00A247A5" w14:paraId="03888F70" w14:textId="77777777" w:rsidTr="000D6644">
        <w:trPr>
          <w:trHeight w:val="401"/>
        </w:trPr>
        <w:tc>
          <w:tcPr>
            <w:tcW w:w="0" w:type="auto"/>
            <w:tcBorders>
              <w:top w:val="nil"/>
              <w:left w:val="nil"/>
              <w:bottom w:val="nil"/>
              <w:right w:val="nil"/>
            </w:tcBorders>
          </w:tcPr>
          <w:p w14:paraId="0CE4C198" w14:textId="77777777" w:rsidR="00302D50" w:rsidRPr="00A247A5" w:rsidRDefault="00302D50" w:rsidP="005B2F9B">
            <w:pPr>
              <w:pStyle w:val="NumberedlistHTA"/>
              <w:numPr>
                <w:ilvl w:val="0"/>
                <w:numId w:val="0"/>
              </w:numPr>
              <w:spacing w:after="160"/>
              <w:rPr>
                <w:sz w:val="20"/>
                <w:szCs w:val="20"/>
              </w:rPr>
            </w:pPr>
            <w:r w:rsidRPr="00A247A5">
              <w:rPr>
                <w:sz w:val="20"/>
                <w:szCs w:val="20"/>
              </w:rPr>
              <w:t>Salaries and Wages</w:t>
            </w:r>
          </w:p>
        </w:tc>
        <w:tc>
          <w:tcPr>
            <w:tcW w:w="0" w:type="auto"/>
            <w:tcBorders>
              <w:top w:val="nil"/>
              <w:left w:val="nil"/>
              <w:bottom w:val="nil"/>
              <w:right w:val="nil"/>
            </w:tcBorders>
          </w:tcPr>
          <w:p w14:paraId="3EE38929" w14:textId="77777777" w:rsidR="00302D50" w:rsidRPr="00A247A5" w:rsidRDefault="00302D50" w:rsidP="005B2F9B">
            <w:pPr>
              <w:pStyle w:val="NumberedlistHTA"/>
              <w:numPr>
                <w:ilvl w:val="0"/>
                <w:numId w:val="0"/>
              </w:numPr>
              <w:spacing w:after="160"/>
              <w:jc w:val="right"/>
              <w:rPr>
                <w:sz w:val="20"/>
                <w:szCs w:val="20"/>
              </w:rPr>
            </w:pPr>
            <w:r>
              <w:rPr>
                <w:sz w:val="20"/>
                <w:szCs w:val="20"/>
              </w:rPr>
              <w:t>3,739</w:t>
            </w:r>
          </w:p>
        </w:tc>
        <w:tc>
          <w:tcPr>
            <w:tcW w:w="0" w:type="auto"/>
            <w:tcBorders>
              <w:top w:val="nil"/>
              <w:left w:val="nil"/>
              <w:bottom w:val="nil"/>
              <w:right w:val="nil"/>
            </w:tcBorders>
          </w:tcPr>
          <w:p w14:paraId="3A11B26D" w14:textId="77777777" w:rsidR="00302D50" w:rsidRPr="00A247A5" w:rsidRDefault="00302D50" w:rsidP="005B2F9B">
            <w:pPr>
              <w:pStyle w:val="NumberedlistHTA"/>
              <w:numPr>
                <w:ilvl w:val="0"/>
                <w:numId w:val="0"/>
              </w:numPr>
              <w:spacing w:after="160"/>
              <w:jc w:val="right"/>
              <w:rPr>
                <w:sz w:val="20"/>
                <w:szCs w:val="20"/>
              </w:rPr>
            </w:pPr>
            <w:r>
              <w:rPr>
                <w:sz w:val="20"/>
                <w:szCs w:val="20"/>
              </w:rPr>
              <w:t>3,882</w:t>
            </w:r>
          </w:p>
        </w:tc>
        <w:tc>
          <w:tcPr>
            <w:tcW w:w="0" w:type="auto"/>
            <w:tcBorders>
              <w:top w:val="nil"/>
              <w:left w:val="nil"/>
              <w:bottom w:val="nil"/>
              <w:right w:val="nil"/>
            </w:tcBorders>
          </w:tcPr>
          <w:p w14:paraId="53F6D2D8" w14:textId="77777777" w:rsidR="00302D50" w:rsidRPr="00A247A5" w:rsidRDefault="00302D50" w:rsidP="005B2F9B">
            <w:pPr>
              <w:pStyle w:val="NumberedlistHTA"/>
              <w:numPr>
                <w:ilvl w:val="0"/>
                <w:numId w:val="0"/>
              </w:numPr>
              <w:spacing w:after="160"/>
              <w:jc w:val="right"/>
              <w:rPr>
                <w:sz w:val="20"/>
                <w:szCs w:val="20"/>
              </w:rPr>
            </w:pPr>
            <w:r>
              <w:rPr>
                <w:sz w:val="20"/>
                <w:szCs w:val="20"/>
              </w:rPr>
              <w:t>(143)</w:t>
            </w:r>
          </w:p>
        </w:tc>
        <w:tc>
          <w:tcPr>
            <w:tcW w:w="0" w:type="auto"/>
            <w:tcBorders>
              <w:top w:val="nil"/>
              <w:left w:val="nil"/>
              <w:bottom w:val="nil"/>
              <w:right w:val="nil"/>
            </w:tcBorders>
          </w:tcPr>
          <w:p w14:paraId="3F037ABE" w14:textId="77777777" w:rsidR="00302D50" w:rsidRPr="00A247A5" w:rsidRDefault="00302D50" w:rsidP="005B2F9B">
            <w:pPr>
              <w:pStyle w:val="NumberedlistHTA"/>
              <w:numPr>
                <w:ilvl w:val="0"/>
                <w:numId w:val="0"/>
              </w:numPr>
              <w:spacing w:after="160"/>
              <w:jc w:val="right"/>
              <w:rPr>
                <w:sz w:val="20"/>
                <w:szCs w:val="20"/>
              </w:rPr>
            </w:pPr>
            <w:r>
              <w:rPr>
                <w:sz w:val="20"/>
                <w:szCs w:val="20"/>
              </w:rPr>
              <w:t>(3.7%)</w:t>
            </w:r>
          </w:p>
        </w:tc>
      </w:tr>
      <w:tr w:rsidR="00FF1323" w:rsidRPr="00A247A5" w14:paraId="4BC105A7" w14:textId="77777777" w:rsidTr="000D6644">
        <w:trPr>
          <w:trHeight w:val="401"/>
        </w:trPr>
        <w:tc>
          <w:tcPr>
            <w:tcW w:w="0" w:type="auto"/>
            <w:tcBorders>
              <w:top w:val="nil"/>
              <w:left w:val="nil"/>
              <w:bottom w:val="nil"/>
              <w:right w:val="nil"/>
            </w:tcBorders>
            <w:shd w:val="clear" w:color="auto" w:fill="E7EAF4"/>
          </w:tcPr>
          <w:p w14:paraId="28F368F2" w14:textId="77777777" w:rsidR="00302D50" w:rsidRPr="00A247A5" w:rsidRDefault="00302D50" w:rsidP="005B2F9B">
            <w:pPr>
              <w:pStyle w:val="NumberedlistHTA"/>
              <w:numPr>
                <w:ilvl w:val="0"/>
                <w:numId w:val="0"/>
              </w:numPr>
              <w:spacing w:after="160"/>
              <w:rPr>
                <w:sz w:val="20"/>
                <w:szCs w:val="20"/>
              </w:rPr>
            </w:pPr>
            <w:r>
              <w:rPr>
                <w:sz w:val="20"/>
                <w:szCs w:val="20"/>
              </w:rPr>
              <w:t>Other staff costs</w:t>
            </w:r>
          </w:p>
        </w:tc>
        <w:tc>
          <w:tcPr>
            <w:tcW w:w="0" w:type="auto"/>
            <w:tcBorders>
              <w:top w:val="nil"/>
              <w:left w:val="nil"/>
              <w:bottom w:val="nil"/>
              <w:right w:val="nil"/>
            </w:tcBorders>
            <w:shd w:val="clear" w:color="auto" w:fill="E7EAF4"/>
          </w:tcPr>
          <w:p w14:paraId="1D0DDAAB" w14:textId="77777777" w:rsidR="00302D50" w:rsidRDefault="00302D50" w:rsidP="005B2F9B">
            <w:pPr>
              <w:pStyle w:val="NumberedlistHTA"/>
              <w:numPr>
                <w:ilvl w:val="0"/>
                <w:numId w:val="0"/>
              </w:numPr>
              <w:spacing w:after="160"/>
              <w:jc w:val="right"/>
              <w:rPr>
                <w:sz w:val="20"/>
                <w:szCs w:val="20"/>
              </w:rPr>
            </w:pPr>
            <w:r>
              <w:rPr>
                <w:sz w:val="20"/>
                <w:szCs w:val="20"/>
              </w:rPr>
              <w:t>202</w:t>
            </w:r>
          </w:p>
        </w:tc>
        <w:tc>
          <w:tcPr>
            <w:tcW w:w="0" w:type="auto"/>
            <w:tcBorders>
              <w:top w:val="nil"/>
              <w:left w:val="nil"/>
              <w:bottom w:val="nil"/>
              <w:right w:val="nil"/>
            </w:tcBorders>
            <w:shd w:val="clear" w:color="auto" w:fill="E7EAF4"/>
          </w:tcPr>
          <w:p w14:paraId="378A81ED" w14:textId="77777777" w:rsidR="00302D50" w:rsidRDefault="00302D50" w:rsidP="005B2F9B">
            <w:pPr>
              <w:pStyle w:val="NumberedlistHTA"/>
              <w:numPr>
                <w:ilvl w:val="0"/>
                <w:numId w:val="0"/>
              </w:numPr>
              <w:spacing w:after="160"/>
              <w:jc w:val="right"/>
              <w:rPr>
                <w:sz w:val="20"/>
                <w:szCs w:val="20"/>
              </w:rPr>
            </w:pPr>
            <w:r>
              <w:rPr>
                <w:sz w:val="20"/>
                <w:szCs w:val="20"/>
              </w:rPr>
              <w:t>282</w:t>
            </w:r>
          </w:p>
        </w:tc>
        <w:tc>
          <w:tcPr>
            <w:tcW w:w="0" w:type="auto"/>
            <w:tcBorders>
              <w:top w:val="nil"/>
              <w:left w:val="nil"/>
              <w:bottom w:val="nil"/>
              <w:right w:val="nil"/>
            </w:tcBorders>
            <w:shd w:val="clear" w:color="auto" w:fill="E7EAF4"/>
          </w:tcPr>
          <w:p w14:paraId="57A73697" w14:textId="77777777" w:rsidR="00302D50" w:rsidRDefault="00302D50" w:rsidP="005B2F9B">
            <w:pPr>
              <w:pStyle w:val="NumberedlistHTA"/>
              <w:numPr>
                <w:ilvl w:val="0"/>
                <w:numId w:val="0"/>
              </w:numPr>
              <w:spacing w:after="160"/>
              <w:jc w:val="right"/>
              <w:rPr>
                <w:sz w:val="20"/>
                <w:szCs w:val="20"/>
              </w:rPr>
            </w:pPr>
            <w:r>
              <w:rPr>
                <w:sz w:val="20"/>
                <w:szCs w:val="20"/>
              </w:rPr>
              <w:t>(80)</w:t>
            </w:r>
          </w:p>
        </w:tc>
        <w:tc>
          <w:tcPr>
            <w:tcW w:w="0" w:type="auto"/>
            <w:tcBorders>
              <w:top w:val="nil"/>
              <w:left w:val="nil"/>
              <w:bottom w:val="nil"/>
              <w:right w:val="nil"/>
            </w:tcBorders>
            <w:shd w:val="clear" w:color="auto" w:fill="E7EAF4"/>
          </w:tcPr>
          <w:p w14:paraId="44E6225C" w14:textId="77777777" w:rsidR="00302D50" w:rsidRDefault="00302D50" w:rsidP="005B2F9B">
            <w:pPr>
              <w:pStyle w:val="NumberedlistHTA"/>
              <w:numPr>
                <w:ilvl w:val="0"/>
                <w:numId w:val="0"/>
              </w:numPr>
              <w:spacing w:after="160"/>
              <w:jc w:val="right"/>
              <w:rPr>
                <w:sz w:val="20"/>
                <w:szCs w:val="20"/>
              </w:rPr>
            </w:pPr>
            <w:r>
              <w:rPr>
                <w:sz w:val="20"/>
                <w:szCs w:val="20"/>
              </w:rPr>
              <w:t>(28.4%)</w:t>
            </w:r>
          </w:p>
        </w:tc>
      </w:tr>
      <w:tr w:rsidR="00302D50" w:rsidRPr="00A247A5" w14:paraId="30554517" w14:textId="77777777" w:rsidTr="000D6644">
        <w:trPr>
          <w:trHeight w:val="401"/>
        </w:trPr>
        <w:tc>
          <w:tcPr>
            <w:tcW w:w="0" w:type="auto"/>
            <w:tcBorders>
              <w:top w:val="nil"/>
              <w:left w:val="nil"/>
              <w:bottom w:val="nil"/>
              <w:right w:val="nil"/>
            </w:tcBorders>
          </w:tcPr>
          <w:p w14:paraId="4702B687" w14:textId="77777777" w:rsidR="00302D50" w:rsidRDefault="00302D50" w:rsidP="005B2F9B">
            <w:pPr>
              <w:pStyle w:val="NumberedlistHTA"/>
              <w:numPr>
                <w:ilvl w:val="0"/>
                <w:numId w:val="0"/>
              </w:numPr>
              <w:spacing w:after="160"/>
              <w:rPr>
                <w:sz w:val="20"/>
                <w:szCs w:val="20"/>
              </w:rPr>
            </w:pPr>
            <w:r>
              <w:rPr>
                <w:sz w:val="20"/>
                <w:szCs w:val="20"/>
              </w:rPr>
              <w:t>Other operating costs</w:t>
            </w:r>
          </w:p>
        </w:tc>
        <w:tc>
          <w:tcPr>
            <w:tcW w:w="0" w:type="auto"/>
            <w:tcBorders>
              <w:top w:val="nil"/>
              <w:left w:val="nil"/>
              <w:bottom w:val="nil"/>
              <w:right w:val="nil"/>
            </w:tcBorders>
          </w:tcPr>
          <w:p w14:paraId="4E21313C" w14:textId="77777777" w:rsidR="00302D50" w:rsidRDefault="00302D50" w:rsidP="005B2F9B">
            <w:pPr>
              <w:pStyle w:val="NumberedlistHTA"/>
              <w:numPr>
                <w:ilvl w:val="0"/>
                <w:numId w:val="0"/>
              </w:numPr>
              <w:spacing w:after="160"/>
              <w:jc w:val="right"/>
              <w:rPr>
                <w:sz w:val="20"/>
                <w:szCs w:val="20"/>
              </w:rPr>
            </w:pPr>
            <w:r>
              <w:rPr>
                <w:sz w:val="20"/>
                <w:szCs w:val="20"/>
              </w:rPr>
              <w:t>137</w:t>
            </w:r>
          </w:p>
        </w:tc>
        <w:tc>
          <w:tcPr>
            <w:tcW w:w="0" w:type="auto"/>
            <w:tcBorders>
              <w:top w:val="nil"/>
              <w:left w:val="nil"/>
              <w:bottom w:val="nil"/>
              <w:right w:val="nil"/>
            </w:tcBorders>
          </w:tcPr>
          <w:p w14:paraId="6A6A9C9E" w14:textId="77777777" w:rsidR="00302D50" w:rsidRDefault="00302D50" w:rsidP="005B2F9B">
            <w:pPr>
              <w:pStyle w:val="NumberedlistHTA"/>
              <w:numPr>
                <w:ilvl w:val="0"/>
                <w:numId w:val="0"/>
              </w:numPr>
              <w:spacing w:after="160"/>
              <w:jc w:val="right"/>
              <w:rPr>
                <w:sz w:val="20"/>
                <w:szCs w:val="20"/>
              </w:rPr>
            </w:pPr>
            <w:r>
              <w:rPr>
                <w:sz w:val="20"/>
                <w:szCs w:val="20"/>
              </w:rPr>
              <w:t>180</w:t>
            </w:r>
          </w:p>
        </w:tc>
        <w:tc>
          <w:tcPr>
            <w:tcW w:w="0" w:type="auto"/>
            <w:tcBorders>
              <w:top w:val="nil"/>
              <w:left w:val="nil"/>
              <w:bottom w:val="nil"/>
              <w:right w:val="nil"/>
            </w:tcBorders>
          </w:tcPr>
          <w:p w14:paraId="170740BA" w14:textId="77777777" w:rsidR="00302D50" w:rsidRDefault="00302D50" w:rsidP="005B2F9B">
            <w:pPr>
              <w:pStyle w:val="NumberedlistHTA"/>
              <w:numPr>
                <w:ilvl w:val="0"/>
                <w:numId w:val="0"/>
              </w:numPr>
              <w:spacing w:after="160"/>
              <w:jc w:val="right"/>
              <w:rPr>
                <w:sz w:val="20"/>
                <w:szCs w:val="20"/>
              </w:rPr>
            </w:pPr>
            <w:r>
              <w:rPr>
                <w:sz w:val="20"/>
                <w:szCs w:val="20"/>
              </w:rPr>
              <w:t>(43)</w:t>
            </w:r>
          </w:p>
        </w:tc>
        <w:tc>
          <w:tcPr>
            <w:tcW w:w="0" w:type="auto"/>
            <w:tcBorders>
              <w:top w:val="nil"/>
              <w:left w:val="nil"/>
              <w:bottom w:val="nil"/>
              <w:right w:val="nil"/>
            </w:tcBorders>
          </w:tcPr>
          <w:p w14:paraId="0C4AE58F" w14:textId="77777777" w:rsidR="00302D50" w:rsidRDefault="00302D50" w:rsidP="005B2F9B">
            <w:pPr>
              <w:pStyle w:val="NumberedlistHTA"/>
              <w:numPr>
                <w:ilvl w:val="0"/>
                <w:numId w:val="0"/>
              </w:numPr>
              <w:spacing w:after="160"/>
              <w:jc w:val="right"/>
              <w:rPr>
                <w:sz w:val="20"/>
                <w:szCs w:val="20"/>
              </w:rPr>
            </w:pPr>
            <w:r>
              <w:rPr>
                <w:sz w:val="20"/>
                <w:szCs w:val="20"/>
              </w:rPr>
              <w:t>(23.9%)</w:t>
            </w:r>
          </w:p>
        </w:tc>
      </w:tr>
      <w:tr w:rsidR="00FF1323" w:rsidRPr="00A247A5" w14:paraId="51540965" w14:textId="77777777" w:rsidTr="000D6644">
        <w:trPr>
          <w:trHeight w:val="401"/>
        </w:trPr>
        <w:tc>
          <w:tcPr>
            <w:tcW w:w="0" w:type="auto"/>
            <w:tcBorders>
              <w:top w:val="nil"/>
              <w:left w:val="nil"/>
              <w:bottom w:val="nil"/>
              <w:right w:val="nil"/>
            </w:tcBorders>
            <w:shd w:val="clear" w:color="auto" w:fill="E7EAF4"/>
          </w:tcPr>
          <w:p w14:paraId="5248484A" w14:textId="77777777" w:rsidR="00302D50" w:rsidRDefault="00302D50" w:rsidP="005B2F9B">
            <w:pPr>
              <w:pStyle w:val="NumberedlistHTA"/>
              <w:numPr>
                <w:ilvl w:val="0"/>
                <w:numId w:val="0"/>
              </w:numPr>
              <w:spacing w:after="160"/>
              <w:rPr>
                <w:sz w:val="20"/>
                <w:szCs w:val="20"/>
              </w:rPr>
            </w:pPr>
            <w:r>
              <w:rPr>
                <w:sz w:val="20"/>
                <w:szCs w:val="20"/>
              </w:rPr>
              <w:t>IT &amp; Telecoms</w:t>
            </w:r>
          </w:p>
        </w:tc>
        <w:tc>
          <w:tcPr>
            <w:tcW w:w="0" w:type="auto"/>
            <w:tcBorders>
              <w:top w:val="nil"/>
              <w:left w:val="nil"/>
              <w:bottom w:val="nil"/>
              <w:right w:val="nil"/>
            </w:tcBorders>
            <w:shd w:val="clear" w:color="auto" w:fill="E7EAF4"/>
          </w:tcPr>
          <w:p w14:paraId="3A0A1CEB" w14:textId="77777777" w:rsidR="00302D50" w:rsidRDefault="00302D50" w:rsidP="005B2F9B">
            <w:pPr>
              <w:pStyle w:val="NumberedlistHTA"/>
              <w:numPr>
                <w:ilvl w:val="0"/>
                <w:numId w:val="0"/>
              </w:numPr>
              <w:spacing w:after="160"/>
              <w:jc w:val="right"/>
              <w:rPr>
                <w:sz w:val="20"/>
                <w:szCs w:val="20"/>
              </w:rPr>
            </w:pPr>
            <w:r>
              <w:rPr>
                <w:sz w:val="20"/>
                <w:szCs w:val="20"/>
              </w:rPr>
              <w:t>344</w:t>
            </w:r>
          </w:p>
        </w:tc>
        <w:tc>
          <w:tcPr>
            <w:tcW w:w="0" w:type="auto"/>
            <w:tcBorders>
              <w:top w:val="nil"/>
              <w:left w:val="nil"/>
              <w:bottom w:val="nil"/>
              <w:right w:val="nil"/>
            </w:tcBorders>
            <w:shd w:val="clear" w:color="auto" w:fill="E7EAF4"/>
          </w:tcPr>
          <w:p w14:paraId="31043BA3" w14:textId="77777777" w:rsidR="00302D50" w:rsidRDefault="00302D50" w:rsidP="005B2F9B">
            <w:pPr>
              <w:pStyle w:val="NumberedlistHTA"/>
              <w:numPr>
                <w:ilvl w:val="0"/>
                <w:numId w:val="0"/>
              </w:numPr>
              <w:spacing w:after="160"/>
              <w:jc w:val="right"/>
              <w:rPr>
                <w:sz w:val="20"/>
                <w:szCs w:val="20"/>
              </w:rPr>
            </w:pPr>
            <w:r>
              <w:rPr>
                <w:sz w:val="20"/>
                <w:szCs w:val="20"/>
              </w:rPr>
              <w:t>370</w:t>
            </w:r>
          </w:p>
        </w:tc>
        <w:tc>
          <w:tcPr>
            <w:tcW w:w="0" w:type="auto"/>
            <w:tcBorders>
              <w:top w:val="nil"/>
              <w:left w:val="nil"/>
              <w:bottom w:val="nil"/>
              <w:right w:val="nil"/>
            </w:tcBorders>
            <w:shd w:val="clear" w:color="auto" w:fill="E7EAF4"/>
          </w:tcPr>
          <w:p w14:paraId="0A70B502" w14:textId="77777777" w:rsidR="00302D50" w:rsidRDefault="00302D50" w:rsidP="005B2F9B">
            <w:pPr>
              <w:pStyle w:val="NumberedlistHTA"/>
              <w:numPr>
                <w:ilvl w:val="0"/>
                <w:numId w:val="0"/>
              </w:numPr>
              <w:spacing w:after="160"/>
              <w:jc w:val="right"/>
              <w:rPr>
                <w:sz w:val="20"/>
                <w:szCs w:val="20"/>
              </w:rPr>
            </w:pPr>
            <w:r>
              <w:rPr>
                <w:sz w:val="20"/>
                <w:szCs w:val="20"/>
              </w:rPr>
              <w:t>(26)</w:t>
            </w:r>
          </w:p>
        </w:tc>
        <w:tc>
          <w:tcPr>
            <w:tcW w:w="0" w:type="auto"/>
            <w:tcBorders>
              <w:top w:val="nil"/>
              <w:left w:val="nil"/>
              <w:bottom w:val="nil"/>
              <w:right w:val="nil"/>
            </w:tcBorders>
            <w:shd w:val="clear" w:color="auto" w:fill="E7EAF4"/>
          </w:tcPr>
          <w:p w14:paraId="20DCCA92" w14:textId="77777777" w:rsidR="00302D50" w:rsidRDefault="00302D50" w:rsidP="005B2F9B">
            <w:pPr>
              <w:pStyle w:val="NumberedlistHTA"/>
              <w:numPr>
                <w:ilvl w:val="0"/>
                <w:numId w:val="0"/>
              </w:numPr>
              <w:spacing w:after="160"/>
              <w:jc w:val="right"/>
              <w:rPr>
                <w:sz w:val="20"/>
                <w:szCs w:val="20"/>
              </w:rPr>
            </w:pPr>
            <w:r>
              <w:rPr>
                <w:sz w:val="20"/>
                <w:szCs w:val="20"/>
              </w:rPr>
              <w:t>(6.9%)</w:t>
            </w:r>
          </w:p>
        </w:tc>
      </w:tr>
      <w:tr w:rsidR="00302D50" w:rsidRPr="00A247A5" w14:paraId="4052820F" w14:textId="77777777" w:rsidTr="000D6644">
        <w:trPr>
          <w:trHeight w:val="401"/>
        </w:trPr>
        <w:tc>
          <w:tcPr>
            <w:tcW w:w="0" w:type="auto"/>
            <w:tcBorders>
              <w:top w:val="nil"/>
              <w:left w:val="nil"/>
              <w:bottom w:val="nil"/>
              <w:right w:val="nil"/>
            </w:tcBorders>
          </w:tcPr>
          <w:p w14:paraId="1FF9570A" w14:textId="77777777" w:rsidR="00302D50" w:rsidRDefault="00302D50" w:rsidP="005B2F9B">
            <w:pPr>
              <w:pStyle w:val="NumberedlistHTA"/>
              <w:numPr>
                <w:ilvl w:val="0"/>
                <w:numId w:val="0"/>
              </w:numPr>
              <w:spacing w:after="160"/>
              <w:rPr>
                <w:sz w:val="20"/>
                <w:szCs w:val="20"/>
              </w:rPr>
            </w:pPr>
            <w:r>
              <w:rPr>
                <w:sz w:val="20"/>
                <w:szCs w:val="20"/>
              </w:rPr>
              <w:t>Legal / Professional</w:t>
            </w:r>
          </w:p>
        </w:tc>
        <w:tc>
          <w:tcPr>
            <w:tcW w:w="0" w:type="auto"/>
            <w:tcBorders>
              <w:top w:val="nil"/>
              <w:left w:val="nil"/>
              <w:bottom w:val="nil"/>
              <w:right w:val="nil"/>
            </w:tcBorders>
          </w:tcPr>
          <w:p w14:paraId="3B8CCAF6" w14:textId="77777777" w:rsidR="00302D50" w:rsidRDefault="00302D50" w:rsidP="005B2F9B">
            <w:pPr>
              <w:pStyle w:val="NumberedlistHTA"/>
              <w:numPr>
                <w:ilvl w:val="0"/>
                <w:numId w:val="0"/>
              </w:numPr>
              <w:spacing w:after="160"/>
              <w:jc w:val="right"/>
              <w:rPr>
                <w:sz w:val="20"/>
                <w:szCs w:val="20"/>
              </w:rPr>
            </w:pPr>
            <w:r>
              <w:rPr>
                <w:sz w:val="20"/>
                <w:szCs w:val="20"/>
              </w:rPr>
              <w:t>151</w:t>
            </w:r>
          </w:p>
        </w:tc>
        <w:tc>
          <w:tcPr>
            <w:tcW w:w="0" w:type="auto"/>
            <w:tcBorders>
              <w:top w:val="nil"/>
              <w:left w:val="nil"/>
              <w:bottom w:val="nil"/>
              <w:right w:val="nil"/>
            </w:tcBorders>
          </w:tcPr>
          <w:p w14:paraId="23531F47" w14:textId="77777777" w:rsidR="00302D50" w:rsidRDefault="00302D50" w:rsidP="005B2F9B">
            <w:pPr>
              <w:pStyle w:val="NumberedlistHTA"/>
              <w:numPr>
                <w:ilvl w:val="0"/>
                <w:numId w:val="0"/>
              </w:numPr>
              <w:spacing w:after="160"/>
              <w:jc w:val="right"/>
              <w:rPr>
                <w:sz w:val="20"/>
                <w:szCs w:val="20"/>
              </w:rPr>
            </w:pPr>
            <w:r>
              <w:rPr>
                <w:sz w:val="20"/>
                <w:szCs w:val="20"/>
              </w:rPr>
              <w:t>109</w:t>
            </w:r>
          </w:p>
        </w:tc>
        <w:tc>
          <w:tcPr>
            <w:tcW w:w="0" w:type="auto"/>
            <w:tcBorders>
              <w:top w:val="nil"/>
              <w:left w:val="nil"/>
              <w:bottom w:val="nil"/>
              <w:right w:val="nil"/>
            </w:tcBorders>
          </w:tcPr>
          <w:p w14:paraId="46E3AD73" w14:textId="77777777" w:rsidR="00302D50" w:rsidRDefault="00302D50" w:rsidP="005B2F9B">
            <w:pPr>
              <w:pStyle w:val="NumberedlistHTA"/>
              <w:numPr>
                <w:ilvl w:val="0"/>
                <w:numId w:val="0"/>
              </w:numPr>
              <w:spacing w:after="160"/>
              <w:jc w:val="right"/>
              <w:rPr>
                <w:sz w:val="20"/>
                <w:szCs w:val="20"/>
              </w:rPr>
            </w:pPr>
            <w:r>
              <w:rPr>
                <w:sz w:val="20"/>
                <w:szCs w:val="20"/>
              </w:rPr>
              <w:t>42</w:t>
            </w:r>
          </w:p>
        </w:tc>
        <w:tc>
          <w:tcPr>
            <w:tcW w:w="0" w:type="auto"/>
            <w:tcBorders>
              <w:top w:val="nil"/>
              <w:left w:val="nil"/>
              <w:bottom w:val="nil"/>
              <w:right w:val="nil"/>
            </w:tcBorders>
          </w:tcPr>
          <w:p w14:paraId="2781F9A2" w14:textId="77777777" w:rsidR="00302D50" w:rsidRDefault="00302D50" w:rsidP="005B2F9B">
            <w:pPr>
              <w:pStyle w:val="NumberedlistHTA"/>
              <w:numPr>
                <w:ilvl w:val="0"/>
                <w:numId w:val="0"/>
              </w:numPr>
              <w:spacing w:after="160"/>
              <w:jc w:val="right"/>
              <w:rPr>
                <w:sz w:val="20"/>
                <w:szCs w:val="20"/>
              </w:rPr>
            </w:pPr>
            <w:r>
              <w:rPr>
                <w:sz w:val="20"/>
                <w:szCs w:val="20"/>
              </w:rPr>
              <w:t>38.5%</w:t>
            </w:r>
          </w:p>
        </w:tc>
      </w:tr>
      <w:tr w:rsidR="00FF1323" w:rsidRPr="00A247A5" w14:paraId="673BCE10" w14:textId="77777777" w:rsidTr="000D6644">
        <w:trPr>
          <w:trHeight w:val="401"/>
        </w:trPr>
        <w:tc>
          <w:tcPr>
            <w:tcW w:w="0" w:type="auto"/>
            <w:tcBorders>
              <w:top w:val="nil"/>
              <w:left w:val="nil"/>
              <w:bottom w:val="nil"/>
              <w:right w:val="nil"/>
            </w:tcBorders>
            <w:shd w:val="clear" w:color="auto" w:fill="E7EAF4"/>
          </w:tcPr>
          <w:p w14:paraId="38545ADB" w14:textId="77777777" w:rsidR="00302D50" w:rsidRDefault="00302D50" w:rsidP="005B2F9B">
            <w:pPr>
              <w:pStyle w:val="NumberedlistHTA"/>
              <w:numPr>
                <w:ilvl w:val="0"/>
                <w:numId w:val="0"/>
              </w:numPr>
              <w:spacing w:after="160"/>
              <w:rPr>
                <w:sz w:val="20"/>
                <w:szCs w:val="20"/>
              </w:rPr>
            </w:pPr>
            <w:r>
              <w:rPr>
                <w:sz w:val="20"/>
                <w:szCs w:val="20"/>
              </w:rPr>
              <w:t>Consultancy</w:t>
            </w:r>
          </w:p>
        </w:tc>
        <w:tc>
          <w:tcPr>
            <w:tcW w:w="0" w:type="auto"/>
            <w:tcBorders>
              <w:top w:val="nil"/>
              <w:left w:val="nil"/>
              <w:bottom w:val="nil"/>
              <w:right w:val="nil"/>
            </w:tcBorders>
            <w:shd w:val="clear" w:color="auto" w:fill="E7EAF4"/>
          </w:tcPr>
          <w:p w14:paraId="172E627F" w14:textId="77777777" w:rsidR="00302D50" w:rsidRDefault="00302D50" w:rsidP="005B2F9B">
            <w:pPr>
              <w:pStyle w:val="NumberedlistHTA"/>
              <w:numPr>
                <w:ilvl w:val="0"/>
                <w:numId w:val="0"/>
              </w:numPr>
              <w:spacing w:after="160"/>
              <w:jc w:val="right"/>
              <w:rPr>
                <w:sz w:val="20"/>
                <w:szCs w:val="20"/>
              </w:rPr>
            </w:pPr>
            <w:r>
              <w:rPr>
                <w:sz w:val="20"/>
                <w:szCs w:val="20"/>
              </w:rPr>
              <w:t>74</w:t>
            </w:r>
          </w:p>
        </w:tc>
        <w:tc>
          <w:tcPr>
            <w:tcW w:w="0" w:type="auto"/>
            <w:tcBorders>
              <w:top w:val="nil"/>
              <w:left w:val="nil"/>
              <w:bottom w:val="nil"/>
              <w:right w:val="nil"/>
            </w:tcBorders>
            <w:shd w:val="clear" w:color="auto" w:fill="E7EAF4"/>
          </w:tcPr>
          <w:p w14:paraId="69855AEE" w14:textId="77777777" w:rsidR="00302D50" w:rsidRDefault="00302D50" w:rsidP="005B2F9B">
            <w:pPr>
              <w:pStyle w:val="NumberedlistHTA"/>
              <w:numPr>
                <w:ilvl w:val="0"/>
                <w:numId w:val="0"/>
              </w:numPr>
              <w:spacing w:after="160"/>
              <w:jc w:val="right"/>
              <w:rPr>
                <w:sz w:val="20"/>
                <w:szCs w:val="20"/>
              </w:rPr>
            </w:pPr>
            <w:r>
              <w:rPr>
                <w:sz w:val="20"/>
                <w:szCs w:val="20"/>
              </w:rPr>
              <w:t>10</w:t>
            </w:r>
          </w:p>
        </w:tc>
        <w:tc>
          <w:tcPr>
            <w:tcW w:w="0" w:type="auto"/>
            <w:tcBorders>
              <w:top w:val="nil"/>
              <w:left w:val="nil"/>
              <w:bottom w:val="nil"/>
              <w:right w:val="nil"/>
            </w:tcBorders>
            <w:shd w:val="clear" w:color="auto" w:fill="E7EAF4"/>
          </w:tcPr>
          <w:p w14:paraId="3BFE5087" w14:textId="77777777" w:rsidR="00302D50" w:rsidRDefault="00302D50" w:rsidP="005B2F9B">
            <w:pPr>
              <w:pStyle w:val="NumberedlistHTA"/>
              <w:numPr>
                <w:ilvl w:val="0"/>
                <w:numId w:val="0"/>
              </w:numPr>
              <w:spacing w:after="160"/>
              <w:jc w:val="right"/>
              <w:rPr>
                <w:sz w:val="20"/>
                <w:szCs w:val="20"/>
              </w:rPr>
            </w:pPr>
            <w:r>
              <w:rPr>
                <w:sz w:val="20"/>
                <w:szCs w:val="20"/>
              </w:rPr>
              <w:t>64</w:t>
            </w:r>
          </w:p>
        </w:tc>
        <w:tc>
          <w:tcPr>
            <w:tcW w:w="0" w:type="auto"/>
            <w:tcBorders>
              <w:top w:val="nil"/>
              <w:left w:val="nil"/>
              <w:bottom w:val="nil"/>
              <w:right w:val="nil"/>
            </w:tcBorders>
            <w:shd w:val="clear" w:color="auto" w:fill="E7EAF4"/>
          </w:tcPr>
          <w:p w14:paraId="26640C62" w14:textId="77777777" w:rsidR="00302D50" w:rsidRDefault="00302D50" w:rsidP="005B2F9B">
            <w:pPr>
              <w:pStyle w:val="NumberedlistHTA"/>
              <w:numPr>
                <w:ilvl w:val="0"/>
                <w:numId w:val="0"/>
              </w:numPr>
              <w:spacing w:after="160"/>
              <w:jc w:val="right"/>
              <w:rPr>
                <w:sz w:val="20"/>
                <w:szCs w:val="20"/>
              </w:rPr>
            </w:pPr>
            <w:r>
              <w:rPr>
                <w:sz w:val="20"/>
                <w:szCs w:val="20"/>
              </w:rPr>
              <w:t>644.3%</w:t>
            </w:r>
          </w:p>
        </w:tc>
      </w:tr>
      <w:tr w:rsidR="00302D50" w:rsidRPr="00A247A5" w14:paraId="2CCF605F" w14:textId="77777777" w:rsidTr="000D6644">
        <w:trPr>
          <w:trHeight w:val="401"/>
        </w:trPr>
        <w:tc>
          <w:tcPr>
            <w:tcW w:w="0" w:type="auto"/>
            <w:tcBorders>
              <w:top w:val="nil"/>
              <w:left w:val="nil"/>
              <w:bottom w:val="nil"/>
              <w:right w:val="nil"/>
            </w:tcBorders>
          </w:tcPr>
          <w:p w14:paraId="7C5D1A12" w14:textId="77777777" w:rsidR="00302D50" w:rsidRDefault="00302D50" w:rsidP="005B2F9B">
            <w:pPr>
              <w:pStyle w:val="NumberedlistHTA"/>
              <w:numPr>
                <w:ilvl w:val="0"/>
                <w:numId w:val="0"/>
              </w:numPr>
              <w:spacing w:after="160"/>
              <w:rPr>
                <w:sz w:val="20"/>
                <w:szCs w:val="20"/>
              </w:rPr>
            </w:pPr>
            <w:r>
              <w:rPr>
                <w:sz w:val="20"/>
                <w:szCs w:val="20"/>
              </w:rPr>
              <w:t>Accommodation</w:t>
            </w:r>
          </w:p>
        </w:tc>
        <w:tc>
          <w:tcPr>
            <w:tcW w:w="0" w:type="auto"/>
            <w:tcBorders>
              <w:top w:val="nil"/>
              <w:left w:val="nil"/>
              <w:bottom w:val="nil"/>
              <w:right w:val="nil"/>
            </w:tcBorders>
          </w:tcPr>
          <w:p w14:paraId="1ABE11B6" w14:textId="77777777" w:rsidR="00302D50" w:rsidRDefault="00302D50" w:rsidP="005B2F9B">
            <w:pPr>
              <w:pStyle w:val="NumberedlistHTA"/>
              <w:numPr>
                <w:ilvl w:val="0"/>
                <w:numId w:val="0"/>
              </w:numPr>
              <w:spacing w:after="160"/>
              <w:jc w:val="right"/>
              <w:rPr>
                <w:sz w:val="20"/>
                <w:szCs w:val="20"/>
              </w:rPr>
            </w:pPr>
            <w:r>
              <w:rPr>
                <w:sz w:val="20"/>
                <w:szCs w:val="20"/>
              </w:rPr>
              <w:t>173</w:t>
            </w:r>
          </w:p>
        </w:tc>
        <w:tc>
          <w:tcPr>
            <w:tcW w:w="0" w:type="auto"/>
            <w:tcBorders>
              <w:top w:val="nil"/>
              <w:left w:val="nil"/>
              <w:bottom w:val="nil"/>
              <w:right w:val="nil"/>
            </w:tcBorders>
          </w:tcPr>
          <w:p w14:paraId="08BA3F9F" w14:textId="77777777" w:rsidR="00302D50" w:rsidRDefault="00302D50" w:rsidP="005B2F9B">
            <w:pPr>
              <w:pStyle w:val="NumberedlistHTA"/>
              <w:numPr>
                <w:ilvl w:val="0"/>
                <w:numId w:val="0"/>
              </w:numPr>
              <w:spacing w:after="160"/>
              <w:jc w:val="right"/>
              <w:rPr>
                <w:sz w:val="20"/>
                <w:szCs w:val="20"/>
              </w:rPr>
            </w:pPr>
            <w:r>
              <w:rPr>
                <w:sz w:val="20"/>
                <w:szCs w:val="20"/>
              </w:rPr>
              <w:t>270</w:t>
            </w:r>
          </w:p>
        </w:tc>
        <w:tc>
          <w:tcPr>
            <w:tcW w:w="0" w:type="auto"/>
            <w:tcBorders>
              <w:top w:val="nil"/>
              <w:left w:val="nil"/>
              <w:bottom w:val="nil"/>
              <w:right w:val="nil"/>
            </w:tcBorders>
          </w:tcPr>
          <w:p w14:paraId="6C277BB2" w14:textId="77777777" w:rsidR="00302D50" w:rsidRDefault="00302D50" w:rsidP="005B2F9B">
            <w:pPr>
              <w:pStyle w:val="NumberedlistHTA"/>
              <w:numPr>
                <w:ilvl w:val="0"/>
                <w:numId w:val="0"/>
              </w:numPr>
              <w:spacing w:after="160"/>
              <w:jc w:val="right"/>
              <w:rPr>
                <w:sz w:val="20"/>
                <w:szCs w:val="20"/>
              </w:rPr>
            </w:pPr>
            <w:r>
              <w:rPr>
                <w:sz w:val="20"/>
                <w:szCs w:val="20"/>
              </w:rPr>
              <w:t>(97)</w:t>
            </w:r>
          </w:p>
        </w:tc>
        <w:tc>
          <w:tcPr>
            <w:tcW w:w="0" w:type="auto"/>
            <w:tcBorders>
              <w:top w:val="nil"/>
              <w:left w:val="nil"/>
              <w:bottom w:val="nil"/>
              <w:right w:val="nil"/>
            </w:tcBorders>
          </w:tcPr>
          <w:p w14:paraId="41C139B3" w14:textId="77777777" w:rsidR="00302D50" w:rsidRDefault="00302D50" w:rsidP="005B2F9B">
            <w:pPr>
              <w:pStyle w:val="NumberedlistHTA"/>
              <w:numPr>
                <w:ilvl w:val="0"/>
                <w:numId w:val="0"/>
              </w:numPr>
              <w:spacing w:after="160"/>
              <w:jc w:val="right"/>
              <w:rPr>
                <w:sz w:val="20"/>
                <w:szCs w:val="20"/>
              </w:rPr>
            </w:pPr>
            <w:r>
              <w:rPr>
                <w:sz w:val="20"/>
                <w:szCs w:val="20"/>
              </w:rPr>
              <w:t>35.9%</w:t>
            </w:r>
          </w:p>
        </w:tc>
      </w:tr>
      <w:tr w:rsidR="00A21779" w:rsidRPr="00A247A5" w14:paraId="2E4EF3D6" w14:textId="77777777" w:rsidTr="000D6644">
        <w:trPr>
          <w:trHeight w:val="401"/>
        </w:trPr>
        <w:tc>
          <w:tcPr>
            <w:tcW w:w="0" w:type="auto"/>
            <w:tcBorders>
              <w:top w:val="nil"/>
              <w:left w:val="nil"/>
              <w:bottom w:val="nil"/>
              <w:right w:val="nil"/>
            </w:tcBorders>
            <w:shd w:val="clear" w:color="auto" w:fill="E7EAF4"/>
          </w:tcPr>
          <w:p w14:paraId="2AB0D5E9" w14:textId="77777777" w:rsidR="00302D50" w:rsidRDefault="00302D50" w:rsidP="005B2F9B">
            <w:pPr>
              <w:pStyle w:val="NumberedlistHTA"/>
              <w:numPr>
                <w:ilvl w:val="0"/>
                <w:numId w:val="0"/>
              </w:numPr>
              <w:spacing w:after="160"/>
              <w:rPr>
                <w:sz w:val="20"/>
                <w:szCs w:val="20"/>
              </w:rPr>
            </w:pPr>
            <w:r>
              <w:rPr>
                <w:sz w:val="20"/>
                <w:szCs w:val="20"/>
              </w:rPr>
              <w:t>Non-cash</w:t>
            </w:r>
          </w:p>
        </w:tc>
        <w:tc>
          <w:tcPr>
            <w:tcW w:w="0" w:type="auto"/>
            <w:tcBorders>
              <w:top w:val="nil"/>
              <w:left w:val="nil"/>
              <w:bottom w:val="nil"/>
              <w:right w:val="nil"/>
            </w:tcBorders>
            <w:shd w:val="clear" w:color="auto" w:fill="E7EAF4"/>
          </w:tcPr>
          <w:p w14:paraId="5D0B045D" w14:textId="77777777" w:rsidR="00302D50" w:rsidRDefault="00302D50" w:rsidP="005B2F9B">
            <w:pPr>
              <w:pStyle w:val="NumberedlistHTA"/>
              <w:numPr>
                <w:ilvl w:val="0"/>
                <w:numId w:val="0"/>
              </w:numPr>
              <w:spacing w:after="160"/>
              <w:jc w:val="right"/>
              <w:rPr>
                <w:sz w:val="20"/>
                <w:szCs w:val="20"/>
              </w:rPr>
            </w:pPr>
            <w:r>
              <w:rPr>
                <w:sz w:val="20"/>
                <w:szCs w:val="20"/>
              </w:rPr>
              <w:t>122</w:t>
            </w:r>
          </w:p>
        </w:tc>
        <w:tc>
          <w:tcPr>
            <w:tcW w:w="0" w:type="auto"/>
            <w:tcBorders>
              <w:top w:val="nil"/>
              <w:left w:val="nil"/>
              <w:bottom w:val="nil"/>
              <w:right w:val="nil"/>
            </w:tcBorders>
            <w:shd w:val="clear" w:color="auto" w:fill="E7EAF4"/>
          </w:tcPr>
          <w:p w14:paraId="0AB350E2" w14:textId="77777777" w:rsidR="00302D50" w:rsidRDefault="00302D50" w:rsidP="005B2F9B">
            <w:pPr>
              <w:pStyle w:val="NumberedlistHTA"/>
              <w:numPr>
                <w:ilvl w:val="0"/>
                <w:numId w:val="0"/>
              </w:numPr>
              <w:spacing w:after="160"/>
              <w:jc w:val="right"/>
              <w:rPr>
                <w:sz w:val="20"/>
                <w:szCs w:val="20"/>
              </w:rPr>
            </w:pPr>
            <w:r>
              <w:rPr>
                <w:sz w:val="20"/>
                <w:szCs w:val="20"/>
              </w:rPr>
              <w:t>78</w:t>
            </w:r>
          </w:p>
        </w:tc>
        <w:tc>
          <w:tcPr>
            <w:tcW w:w="0" w:type="auto"/>
            <w:tcBorders>
              <w:top w:val="nil"/>
              <w:left w:val="nil"/>
              <w:bottom w:val="nil"/>
              <w:right w:val="nil"/>
            </w:tcBorders>
            <w:shd w:val="clear" w:color="auto" w:fill="E7EAF4"/>
          </w:tcPr>
          <w:p w14:paraId="1C32B390" w14:textId="77777777" w:rsidR="00302D50" w:rsidRDefault="00302D50" w:rsidP="005B2F9B">
            <w:pPr>
              <w:pStyle w:val="NumberedlistHTA"/>
              <w:numPr>
                <w:ilvl w:val="0"/>
                <w:numId w:val="0"/>
              </w:numPr>
              <w:spacing w:after="160"/>
              <w:jc w:val="right"/>
              <w:rPr>
                <w:sz w:val="20"/>
                <w:szCs w:val="20"/>
              </w:rPr>
            </w:pPr>
            <w:r>
              <w:rPr>
                <w:sz w:val="20"/>
                <w:szCs w:val="20"/>
              </w:rPr>
              <w:t>44</w:t>
            </w:r>
          </w:p>
        </w:tc>
        <w:tc>
          <w:tcPr>
            <w:tcW w:w="0" w:type="auto"/>
            <w:tcBorders>
              <w:top w:val="nil"/>
              <w:left w:val="nil"/>
              <w:bottom w:val="nil"/>
              <w:right w:val="nil"/>
            </w:tcBorders>
            <w:shd w:val="clear" w:color="auto" w:fill="E7EAF4"/>
          </w:tcPr>
          <w:p w14:paraId="601F5D66" w14:textId="77777777" w:rsidR="00302D50" w:rsidRDefault="00302D50" w:rsidP="005B2F9B">
            <w:pPr>
              <w:pStyle w:val="NumberedlistHTA"/>
              <w:numPr>
                <w:ilvl w:val="0"/>
                <w:numId w:val="0"/>
              </w:numPr>
              <w:spacing w:after="160"/>
              <w:jc w:val="right"/>
              <w:rPr>
                <w:sz w:val="20"/>
                <w:szCs w:val="20"/>
              </w:rPr>
            </w:pPr>
            <w:r>
              <w:rPr>
                <w:sz w:val="20"/>
                <w:szCs w:val="20"/>
              </w:rPr>
              <w:t>55.1%</w:t>
            </w:r>
          </w:p>
        </w:tc>
      </w:tr>
      <w:tr w:rsidR="00302D50" w:rsidRPr="00A247A5" w14:paraId="51C591DA" w14:textId="77777777" w:rsidTr="000D6644">
        <w:trPr>
          <w:trHeight w:val="401"/>
        </w:trPr>
        <w:tc>
          <w:tcPr>
            <w:tcW w:w="0" w:type="auto"/>
            <w:tcBorders>
              <w:top w:val="nil"/>
              <w:left w:val="nil"/>
              <w:bottom w:val="single" w:sz="4" w:space="0" w:color="auto"/>
              <w:right w:val="nil"/>
            </w:tcBorders>
          </w:tcPr>
          <w:p w14:paraId="25ED3428" w14:textId="77777777" w:rsidR="00302D50" w:rsidRDefault="00302D50" w:rsidP="005B2F9B">
            <w:pPr>
              <w:pStyle w:val="NumberedlistHTA"/>
              <w:numPr>
                <w:ilvl w:val="0"/>
                <w:numId w:val="0"/>
              </w:numPr>
              <w:spacing w:after="160"/>
              <w:rPr>
                <w:sz w:val="20"/>
                <w:szCs w:val="20"/>
              </w:rPr>
            </w:pPr>
            <w:r>
              <w:rPr>
                <w:sz w:val="20"/>
                <w:szCs w:val="20"/>
              </w:rPr>
              <w:t>Contingency</w:t>
            </w:r>
          </w:p>
        </w:tc>
        <w:tc>
          <w:tcPr>
            <w:tcW w:w="0" w:type="auto"/>
            <w:tcBorders>
              <w:top w:val="nil"/>
              <w:left w:val="nil"/>
              <w:bottom w:val="single" w:sz="4" w:space="0" w:color="auto"/>
              <w:right w:val="nil"/>
            </w:tcBorders>
          </w:tcPr>
          <w:p w14:paraId="17F6AD16" w14:textId="77777777" w:rsidR="00302D50" w:rsidRDefault="00302D50" w:rsidP="005B2F9B">
            <w:pPr>
              <w:pStyle w:val="NumberedlistHTA"/>
              <w:numPr>
                <w:ilvl w:val="0"/>
                <w:numId w:val="0"/>
              </w:numPr>
              <w:spacing w:after="160"/>
              <w:jc w:val="right"/>
              <w:rPr>
                <w:sz w:val="20"/>
                <w:szCs w:val="20"/>
              </w:rPr>
            </w:pPr>
            <w:r>
              <w:rPr>
                <w:sz w:val="20"/>
                <w:szCs w:val="20"/>
              </w:rPr>
              <w:t>0</w:t>
            </w:r>
          </w:p>
        </w:tc>
        <w:tc>
          <w:tcPr>
            <w:tcW w:w="0" w:type="auto"/>
            <w:tcBorders>
              <w:top w:val="nil"/>
              <w:left w:val="nil"/>
              <w:bottom w:val="single" w:sz="4" w:space="0" w:color="auto"/>
              <w:right w:val="nil"/>
            </w:tcBorders>
          </w:tcPr>
          <w:p w14:paraId="6D5AF490" w14:textId="77777777" w:rsidR="00302D50" w:rsidRDefault="00302D50" w:rsidP="005B2F9B">
            <w:pPr>
              <w:pStyle w:val="NumberedlistHTA"/>
              <w:numPr>
                <w:ilvl w:val="0"/>
                <w:numId w:val="0"/>
              </w:numPr>
              <w:spacing w:after="160"/>
              <w:jc w:val="right"/>
              <w:rPr>
                <w:sz w:val="20"/>
                <w:szCs w:val="20"/>
              </w:rPr>
            </w:pPr>
            <w:r>
              <w:rPr>
                <w:sz w:val="20"/>
                <w:szCs w:val="20"/>
              </w:rPr>
              <w:t>200</w:t>
            </w:r>
          </w:p>
        </w:tc>
        <w:tc>
          <w:tcPr>
            <w:tcW w:w="0" w:type="auto"/>
            <w:tcBorders>
              <w:top w:val="nil"/>
              <w:left w:val="nil"/>
              <w:bottom w:val="single" w:sz="4" w:space="0" w:color="auto"/>
              <w:right w:val="nil"/>
            </w:tcBorders>
          </w:tcPr>
          <w:p w14:paraId="556534C4" w14:textId="77777777" w:rsidR="00302D50" w:rsidRDefault="00302D50" w:rsidP="005B2F9B">
            <w:pPr>
              <w:pStyle w:val="NumberedlistHTA"/>
              <w:numPr>
                <w:ilvl w:val="0"/>
                <w:numId w:val="0"/>
              </w:numPr>
              <w:spacing w:after="160"/>
              <w:jc w:val="right"/>
              <w:rPr>
                <w:sz w:val="20"/>
                <w:szCs w:val="20"/>
              </w:rPr>
            </w:pPr>
            <w:r>
              <w:rPr>
                <w:sz w:val="20"/>
                <w:szCs w:val="20"/>
              </w:rPr>
              <w:t>(200)</w:t>
            </w:r>
          </w:p>
        </w:tc>
        <w:tc>
          <w:tcPr>
            <w:tcW w:w="0" w:type="auto"/>
            <w:tcBorders>
              <w:top w:val="nil"/>
              <w:left w:val="nil"/>
              <w:bottom w:val="single" w:sz="4" w:space="0" w:color="auto"/>
              <w:right w:val="nil"/>
            </w:tcBorders>
          </w:tcPr>
          <w:p w14:paraId="26A6382B" w14:textId="77777777" w:rsidR="00302D50" w:rsidRDefault="00302D50" w:rsidP="005B2F9B">
            <w:pPr>
              <w:pStyle w:val="NumberedlistHTA"/>
              <w:numPr>
                <w:ilvl w:val="0"/>
                <w:numId w:val="0"/>
              </w:numPr>
              <w:spacing w:after="160"/>
              <w:jc w:val="right"/>
              <w:rPr>
                <w:sz w:val="20"/>
                <w:szCs w:val="20"/>
              </w:rPr>
            </w:pPr>
            <w:r>
              <w:rPr>
                <w:sz w:val="20"/>
                <w:szCs w:val="20"/>
              </w:rPr>
              <w:t>-</w:t>
            </w:r>
          </w:p>
        </w:tc>
      </w:tr>
      <w:tr w:rsidR="00A21779" w:rsidRPr="00C8798C" w14:paraId="2377E45D" w14:textId="77777777" w:rsidTr="000D6644">
        <w:trPr>
          <w:trHeight w:val="416"/>
        </w:trPr>
        <w:tc>
          <w:tcPr>
            <w:tcW w:w="0" w:type="auto"/>
            <w:tcBorders>
              <w:left w:val="nil"/>
              <w:bottom w:val="single" w:sz="4" w:space="0" w:color="auto"/>
              <w:right w:val="nil"/>
            </w:tcBorders>
            <w:shd w:val="clear" w:color="auto" w:fill="E7EAF4"/>
          </w:tcPr>
          <w:p w14:paraId="237935EF" w14:textId="77777777" w:rsidR="00302D50" w:rsidRPr="00C8798C" w:rsidRDefault="00302D50" w:rsidP="005B2F9B">
            <w:pPr>
              <w:pStyle w:val="NumberedlistHTA"/>
              <w:numPr>
                <w:ilvl w:val="0"/>
                <w:numId w:val="0"/>
              </w:numPr>
              <w:spacing w:after="160"/>
              <w:rPr>
                <w:b/>
                <w:bCs/>
                <w:sz w:val="22"/>
                <w:szCs w:val="22"/>
              </w:rPr>
            </w:pPr>
            <w:r w:rsidRPr="00C8798C">
              <w:rPr>
                <w:b/>
                <w:bCs/>
                <w:sz w:val="22"/>
                <w:szCs w:val="22"/>
              </w:rPr>
              <w:t>Total costs</w:t>
            </w:r>
          </w:p>
        </w:tc>
        <w:tc>
          <w:tcPr>
            <w:tcW w:w="0" w:type="auto"/>
            <w:tcBorders>
              <w:left w:val="nil"/>
              <w:bottom w:val="single" w:sz="4" w:space="0" w:color="auto"/>
              <w:right w:val="nil"/>
            </w:tcBorders>
            <w:shd w:val="clear" w:color="auto" w:fill="E7EAF4"/>
          </w:tcPr>
          <w:p w14:paraId="7C16CE37" w14:textId="77777777" w:rsidR="00302D50" w:rsidRPr="00C8798C" w:rsidRDefault="00302D50" w:rsidP="005B2F9B">
            <w:pPr>
              <w:pStyle w:val="NumberedlistHTA"/>
              <w:numPr>
                <w:ilvl w:val="0"/>
                <w:numId w:val="0"/>
              </w:numPr>
              <w:spacing w:after="160"/>
              <w:jc w:val="right"/>
              <w:rPr>
                <w:b/>
                <w:bCs/>
                <w:sz w:val="22"/>
                <w:szCs w:val="22"/>
              </w:rPr>
            </w:pPr>
            <w:r w:rsidRPr="00C8798C">
              <w:rPr>
                <w:b/>
                <w:bCs/>
                <w:sz w:val="22"/>
                <w:szCs w:val="22"/>
              </w:rPr>
              <w:t>4,942</w:t>
            </w:r>
          </w:p>
        </w:tc>
        <w:tc>
          <w:tcPr>
            <w:tcW w:w="0" w:type="auto"/>
            <w:tcBorders>
              <w:left w:val="nil"/>
              <w:bottom w:val="single" w:sz="4" w:space="0" w:color="auto"/>
              <w:right w:val="nil"/>
            </w:tcBorders>
            <w:shd w:val="clear" w:color="auto" w:fill="E7EAF4"/>
          </w:tcPr>
          <w:p w14:paraId="11F1FD42" w14:textId="77777777" w:rsidR="00302D50" w:rsidRPr="00C8798C" w:rsidRDefault="00302D50" w:rsidP="005B2F9B">
            <w:pPr>
              <w:pStyle w:val="NumberedlistHTA"/>
              <w:numPr>
                <w:ilvl w:val="0"/>
                <w:numId w:val="0"/>
              </w:numPr>
              <w:spacing w:after="160"/>
              <w:jc w:val="right"/>
              <w:rPr>
                <w:b/>
                <w:bCs/>
                <w:sz w:val="22"/>
                <w:szCs w:val="22"/>
              </w:rPr>
            </w:pPr>
            <w:r w:rsidRPr="00C8798C">
              <w:rPr>
                <w:b/>
                <w:bCs/>
                <w:sz w:val="22"/>
                <w:szCs w:val="22"/>
              </w:rPr>
              <w:fldChar w:fldCharType="begin"/>
            </w:r>
            <w:r w:rsidRPr="00C8798C">
              <w:rPr>
                <w:b/>
                <w:bCs/>
                <w:sz w:val="22"/>
                <w:szCs w:val="22"/>
              </w:rPr>
              <w:instrText xml:space="preserve"> =SUM(ABOVE) </w:instrText>
            </w:r>
            <w:r w:rsidRPr="00C8798C">
              <w:rPr>
                <w:b/>
                <w:bCs/>
                <w:sz w:val="22"/>
                <w:szCs w:val="22"/>
              </w:rPr>
              <w:fldChar w:fldCharType="separate"/>
            </w:r>
            <w:r w:rsidRPr="00C8798C">
              <w:rPr>
                <w:b/>
                <w:bCs/>
                <w:noProof/>
                <w:sz w:val="22"/>
                <w:szCs w:val="22"/>
              </w:rPr>
              <w:t>5,381</w:t>
            </w:r>
            <w:r w:rsidRPr="00C8798C">
              <w:rPr>
                <w:b/>
                <w:bCs/>
                <w:sz w:val="22"/>
                <w:szCs w:val="22"/>
              </w:rPr>
              <w:fldChar w:fldCharType="end"/>
            </w:r>
          </w:p>
        </w:tc>
        <w:tc>
          <w:tcPr>
            <w:tcW w:w="0" w:type="auto"/>
            <w:tcBorders>
              <w:left w:val="nil"/>
              <w:bottom w:val="single" w:sz="4" w:space="0" w:color="auto"/>
              <w:right w:val="nil"/>
            </w:tcBorders>
            <w:shd w:val="clear" w:color="auto" w:fill="E7EAF4"/>
          </w:tcPr>
          <w:p w14:paraId="0B8D8866" w14:textId="77777777" w:rsidR="00302D50" w:rsidRPr="00C8798C" w:rsidRDefault="00302D50" w:rsidP="005B2F9B">
            <w:pPr>
              <w:pStyle w:val="NumberedlistHTA"/>
              <w:numPr>
                <w:ilvl w:val="0"/>
                <w:numId w:val="0"/>
              </w:numPr>
              <w:spacing w:after="160"/>
              <w:jc w:val="right"/>
              <w:rPr>
                <w:b/>
                <w:bCs/>
                <w:sz w:val="22"/>
                <w:szCs w:val="22"/>
              </w:rPr>
            </w:pPr>
            <w:r w:rsidRPr="00C8798C">
              <w:rPr>
                <w:b/>
                <w:bCs/>
                <w:sz w:val="22"/>
                <w:szCs w:val="22"/>
              </w:rPr>
              <w:t>(439)</w:t>
            </w:r>
          </w:p>
        </w:tc>
        <w:tc>
          <w:tcPr>
            <w:tcW w:w="0" w:type="auto"/>
            <w:tcBorders>
              <w:left w:val="nil"/>
              <w:bottom w:val="single" w:sz="4" w:space="0" w:color="auto"/>
              <w:right w:val="nil"/>
            </w:tcBorders>
            <w:shd w:val="clear" w:color="auto" w:fill="E7EAF4"/>
          </w:tcPr>
          <w:p w14:paraId="4FB6661A" w14:textId="77777777" w:rsidR="00302D50" w:rsidRPr="00C8798C" w:rsidRDefault="00302D50" w:rsidP="005B2F9B">
            <w:pPr>
              <w:pStyle w:val="NumberedlistHTA"/>
              <w:numPr>
                <w:ilvl w:val="0"/>
                <w:numId w:val="0"/>
              </w:numPr>
              <w:spacing w:after="160"/>
              <w:jc w:val="right"/>
              <w:rPr>
                <w:b/>
                <w:bCs/>
                <w:sz w:val="22"/>
                <w:szCs w:val="22"/>
              </w:rPr>
            </w:pPr>
            <w:r w:rsidRPr="00C8798C">
              <w:rPr>
                <w:b/>
                <w:bCs/>
                <w:sz w:val="22"/>
                <w:szCs w:val="22"/>
              </w:rPr>
              <w:t>(8.15%)</w:t>
            </w:r>
          </w:p>
        </w:tc>
      </w:tr>
      <w:tr w:rsidR="004C1D39" w:rsidRPr="004C1D39" w14:paraId="613593F2" w14:textId="77777777" w:rsidTr="000D6644">
        <w:trPr>
          <w:trHeight w:val="447"/>
        </w:trPr>
        <w:tc>
          <w:tcPr>
            <w:tcW w:w="0" w:type="auto"/>
            <w:tcBorders>
              <w:top w:val="single" w:sz="4" w:space="0" w:color="auto"/>
              <w:left w:val="nil"/>
              <w:bottom w:val="double" w:sz="4" w:space="0" w:color="auto"/>
              <w:right w:val="nil"/>
            </w:tcBorders>
            <w:shd w:val="clear" w:color="auto" w:fill="4E1965"/>
          </w:tcPr>
          <w:p w14:paraId="4980935C" w14:textId="77777777" w:rsidR="00302D50" w:rsidRPr="004C1D39" w:rsidRDefault="00302D50" w:rsidP="005B2F9B">
            <w:pPr>
              <w:pStyle w:val="NumberedlistHTA"/>
              <w:numPr>
                <w:ilvl w:val="0"/>
                <w:numId w:val="0"/>
              </w:numPr>
              <w:spacing w:after="160"/>
              <w:rPr>
                <w:b/>
                <w:bCs/>
                <w:color w:val="FFFFFF" w:themeColor="background1"/>
              </w:rPr>
            </w:pPr>
            <w:r w:rsidRPr="004C1D39">
              <w:rPr>
                <w:b/>
                <w:bCs/>
                <w:color w:val="FFFFFF" w:themeColor="background1"/>
              </w:rPr>
              <w:t>Net income</w:t>
            </w:r>
          </w:p>
        </w:tc>
        <w:tc>
          <w:tcPr>
            <w:tcW w:w="0" w:type="auto"/>
            <w:tcBorders>
              <w:top w:val="single" w:sz="4" w:space="0" w:color="auto"/>
              <w:left w:val="nil"/>
              <w:bottom w:val="double" w:sz="4" w:space="0" w:color="auto"/>
              <w:right w:val="nil"/>
            </w:tcBorders>
            <w:shd w:val="clear" w:color="auto" w:fill="4E1965"/>
          </w:tcPr>
          <w:p w14:paraId="64A20683" w14:textId="77777777" w:rsidR="00302D50" w:rsidRPr="004C1D39" w:rsidRDefault="00302D50" w:rsidP="005B2F9B">
            <w:pPr>
              <w:pStyle w:val="NumberedlistHTA"/>
              <w:numPr>
                <w:ilvl w:val="0"/>
                <w:numId w:val="0"/>
              </w:numPr>
              <w:spacing w:after="160"/>
              <w:jc w:val="right"/>
              <w:rPr>
                <w:b/>
                <w:bCs/>
                <w:color w:val="FFFFFF" w:themeColor="background1"/>
              </w:rPr>
            </w:pPr>
            <w:r w:rsidRPr="004C1D39">
              <w:rPr>
                <w:b/>
                <w:bCs/>
                <w:color w:val="FFFFFF" w:themeColor="background1"/>
              </w:rPr>
              <w:t>438</w:t>
            </w:r>
          </w:p>
        </w:tc>
        <w:tc>
          <w:tcPr>
            <w:tcW w:w="0" w:type="auto"/>
            <w:tcBorders>
              <w:top w:val="single" w:sz="4" w:space="0" w:color="auto"/>
              <w:left w:val="nil"/>
              <w:bottom w:val="double" w:sz="4" w:space="0" w:color="auto"/>
              <w:right w:val="nil"/>
            </w:tcBorders>
            <w:shd w:val="clear" w:color="auto" w:fill="4E1965"/>
          </w:tcPr>
          <w:p w14:paraId="36E0C47B" w14:textId="77777777" w:rsidR="00302D50" w:rsidRPr="004C1D39" w:rsidRDefault="00302D50" w:rsidP="005B2F9B">
            <w:pPr>
              <w:pStyle w:val="NumberedlistHTA"/>
              <w:numPr>
                <w:ilvl w:val="0"/>
                <w:numId w:val="0"/>
              </w:numPr>
              <w:spacing w:after="160"/>
              <w:jc w:val="right"/>
              <w:rPr>
                <w:b/>
                <w:bCs/>
                <w:color w:val="FFFFFF" w:themeColor="background1"/>
              </w:rPr>
            </w:pPr>
            <w:r w:rsidRPr="004C1D39">
              <w:rPr>
                <w:b/>
                <w:bCs/>
                <w:color w:val="FFFFFF" w:themeColor="background1"/>
              </w:rPr>
              <w:t>0</w:t>
            </w:r>
          </w:p>
        </w:tc>
        <w:tc>
          <w:tcPr>
            <w:tcW w:w="0" w:type="auto"/>
            <w:tcBorders>
              <w:top w:val="single" w:sz="4" w:space="0" w:color="auto"/>
              <w:left w:val="nil"/>
              <w:bottom w:val="double" w:sz="4" w:space="0" w:color="auto"/>
              <w:right w:val="nil"/>
            </w:tcBorders>
            <w:shd w:val="clear" w:color="auto" w:fill="4E1965"/>
          </w:tcPr>
          <w:p w14:paraId="67DE63F2" w14:textId="77777777" w:rsidR="00302D50" w:rsidRPr="004C1D39" w:rsidRDefault="00302D50" w:rsidP="005B2F9B">
            <w:pPr>
              <w:pStyle w:val="NumberedlistHTA"/>
              <w:numPr>
                <w:ilvl w:val="0"/>
                <w:numId w:val="0"/>
              </w:numPr>
              <w:spacing w:after="160"/>
              <w:jc w:val="right"/>
              <w:rPr>
                <w:b/>
                <w:bCs/>
                <w:color w:val="FFFFFF" w:themeColor="background1"/>
              </w:rPr>
            </w:pPr>
            <w:r w:rsidRPr="004C1D39">
              <w:rPr>
                <w:b/>
                <w:bCs/>
                <w:color w:val="FFFFFF" w:themeColor="background1"/>
              </w:rPr>
              <w:t>438</w:t>
            </w:r>
          </w:p>
        </w:tc>
        <w:tc>
          <w:tcPr>
            <w:tcW w:w="0" w:type="auto"/>
            <w:tcBorders>
              <w:top w:val="single" w:sz="4" w:space="0" w:color="auto"/>
              <w:left w:val="nil"/>
              <w:bottom w:val="double" w:sz="4" w:space="0" w:color="auto"/>
              <w:right w:val="nil"/>
            </w:tcBorders>
            <w:shd w:val="clear" w:color="auto" w:fill="4E1965"/>
          </w:tcPr>
          <w:p w14:paraId="59AD1CC5" w14:textId="77777777" w:rsidR="00302D50" w:rsidRPr="004C1D39" w:rsidRDefault="00302D50" w:rsidP="005B2F9B">
            <w:pPr>
              <w:pStyle w:val="NumberedlistHTA"/>
              <w:numPr>
                <w:ilvl w:val="0"/>
                <w:numId w:val="0"/>
              </w:numPr>
              <w:spacing w:after="160"/>
              <w:jc w:val="right"/>
              <w:rPr>
                <w:b/>
                <w:bCs/>
                <w:color w:val="FFFFFF" w:themeColor="background1"/>
              </w:rPr>
            </w:pPr>
          </w:p>
        </w:tc>
      </w:tr>
    </w:tbl>
    <w:p w14:paraId="5F7997B5" w14:textId="77777777" w:rsidR="00302D50" w:rsidRPr="007E6B09" w:rsidRDefault="00302D50" w:rsidP="00302D50">
      <w:pPr>
        <w:pStyle w:val="NumberedlistHTA"/>
        <w:numPr>
          <w:ilvl w:val="0"/>
          <w:numId w:val="0"/>
        </w:numPr>
        <w:spacing w:after="160"/>
      </w:pPr>
    </w:p>
    <w:p w14:paraId="24047EBB" w14:textId="4E5D018A" w:rsidR="00527E28" w:rsidRPr="00E921EC" w:rsidRDefault="00527E28" w:rsidP="00C90978">
      <w:pPr>
        <w:pStyle w:val="NumberedlistHTA"/>
        <w:numPr>
          <w:ilvl w:val="0"/>
          <w:numId w:val="0"/>
        </w:numPr>
        <w:spacing w:line="320" w:lineRule="exact"/>
        <w:ind w:left="3326"/>
      </w:pPr>
    </w:p>
    <w:p w14:paraId="57DB0488" w14:textId="77777777" w:rsidR="007C1C76" w:rsidRDefault="007C1C76">
      <w:pPr>
        <w:rPr>
          <w:rFonts w:eastAsia="Arial"/>
          <w:b/>
          <w:bCs/>
          <w:sz w:val="28"/>
          <w:szCs w:val="28"/>
        </w:rPr>
      </w:pPr>
      <w:r>
        <w:rPr>
          <w:rFonts w:eastAsia="Arial"/>
          <w:b/>
          <w:bCs/>
          <w:sz w:val="28"/>
          <w:szCs w:val="28"/>
        </w:rPr>
        <w:br w:type="page"/>
      </w:r>
    </w:p>
    <w:p w14:paraId="2334BF6A" w14:textId="321B2EB1" w:rsidR="00527E28" w:rsidRDefault="00527E28" w:rsidP="00093423">
      <w:pPr>
        <w:spacing w:before="0" w:after="0" w:line="320" w:lineRule="exact"/>
        <w:rPr>
          <w:rFonts w:eastAsia="Arial"/>
          <w:b/>
          <w:bCs/>
          <w:sz w:val="32"/>
          <w:szCs w:val="32"/>
        </w:rPr>
      </w:pPr>
      <w:r w:rsidRPr="007C1C76">
        <w:rPr>
          <w:rFonts w:eastAsia="Arial"/>
          <w:b/>
          <w:bCs/>
          <w:sz w:val="32"/>
          <w:szCs w:val="32"/>
        </w:rPr>
        <w:lastRenderedPageBreak/>
        <w:t>Income</w:t>
      </w:r>
    </w:p>
    <w:p w14:paraId="1ED05BE0" w14:textId="77777777" w:rsidR="00C84E46" w:rsidRPr="007C1C76" w:rsidRDefault="00C84E46" w:rsidP="00093423">
      <w:pPr>
        <w:spacing w:before="0" w:after="0" w:line="320" w:lineRule="exact"/>
        <w:rPr>
          <w:rFonts w:eastAsia="Arial"/>
          <w:b/>
          <w:bCs/>
          <w:sz w:val="32"/>
          <w:szCs w:val="32"/>
        </w:rPr>
      </w:pPr>
    </w:p>
    <w:p w14:paraId="479CC4FD" w14:textId="69D9D43E" w:rsidR="00571BCE" w:rsidRDefault="052C0D97" w:rsidP="00093423">
      <w:pPr>
        <w:pStyle w:val="NumberedlistHTA"/>
        <w:spacing w:after="0" w:line="320" w:lineRule="exact"/>
        <w:ind w:left="426" w:hanging="426"/>
      </w:pPr>
      <w:r>
        <w:t xml:space="preserve">Our income </w:t>
      </w:r>
      <w:r w:rsidR="7BEC76E0">
        <w:t xml:space="preserve">has ended the year on budget, despite the </w:t>
      </w:r>
      <w:r w:rsidR="74208B7D">
        <w:t xml:space="preserve">reduction in our grant in aid which was returned to the Department of Health and Social Care as part of the reform and efficiencies </w:t>
      </w:r>
      <w:r w:rsidR="44CD0CD9">
        <w:t>activity</w:t>
      </w:r>
      <w:r w:rsidR="3E114004">
        <w:t>.</w:t>
      </w:r>
      <w:r w:rsidR="74208B7D">
        <w:t xml:space="preserve"> The short-fall being made up from an </w:t>
      </w:r>
      <w:r w:rsidR="7140EE45">
        <w:t>increase in</w:t>
      </w:r>
      <w:r w:rsidR="74208B7D">
        <w:t xml:space="preserve"> </w:t>
      </w:r>
      <w:r w:rsidR="7140EE45">
        <w:t xml:space="preserve">income from licence fees across all sectors </w:t>
      </w:r>
      <w:r w:rsidR="273A66B3">
        <w:t>except for</w:t>
      </w:r>
      <w:r w:rsidR="7140EE45">
        <w:t xml:space="preserve"> the P</w:t>
      </w:r>
      <w:r w:rsidR="7B443226">
        <w:t xml:space="preserve">ublic Display and Research sectors </w:t>
      </w:r>
      <w:r w:rsidR="621C03F7">
        <w:t>where there was</w:t>
      </w:r>
      <w:r w:rsidR="7B443226">
        <w:t xml:space="preserve"> a very small drop of less than £2k </w:t>
      </w:r>
      <w:r w:rsidR="0F2A8BBA">
        <w:t xml:space="preserve">in </w:t>
      </w:r>
      <w:r w:rsidR="7B443226">
        <w:t>each</w:t>
      </w:r>
      <w:r w:rsidR="0F2A8BBA">
        <w:t xml:space="preserve"> case</w:t>
      </w:r>
      <w:r w:rsidR="7B443226">
        <w:t>.</w:t>
      </w:r>
    </w:p>
    <w:p w14:paraId="58E8FCD7" w14:textId="77777777" w:rsidR="00814845" w:rsidRDefault="00814845" w:rsidP="00093423">
      <w:pPr>
        <w:pStyle w:val="NumberedlistHTA"/>
        <w:numPr>
          <w:ilvl w:val="0"/>
          <w:numId w:val="0"/>
        </w:numPr>
        <w:spacing w:after="0" w:line="320" w:lineRule="exact"/>
        <w:ind w:left="426"/>
      </w:pPr>
    </w:p>
    <w:p w14:paraId="41FEDB79" w14:textId="6DB74F1A" w:rsidR="00527E28" w:rsidRDefault="00527E28" w:rsidP="00093423">
      <w:pPr>
        <w:pStyle w:val="NumberedlistHTA"/>
        <w:numPr>
          <w:ilvl w:val="0"/>
          <w:numId w:val="0"/>
        </w:numPr>
        <w:spacing w:after="0" w:line="320" w:lineRule="exact"/>
        <w:rPr>
          <w:rFonts w:eastAsia="Arial"/>
          <w:b/>
          <w:sz w:val="32"/>
          <w:szCs w:val="32"/>
        </w:rPr>
      </w:pPr>
      <w:r w:rsidRPr="00814845">
        <w:rPr>
          <w:rFonts w:eastAsia="Arial"/>
          <w:b/>
          <w:sz w:val="32"/>
          <w:szCs w:val="32"/>
        </w:rPr>
        <w:t xml:space="preserve">Expenditure </w:t>
      </w:r>
    </w:p>
    <w:p w14:paraId="42C3A4E7" w14:textId="77777777" w:rsidR="00C84E46" w:rsidRPr="00814845" w:rsidRDefault="00C84E46" w:rsidP="00093423">
      <w:pPr>
        <w:pStyle w:val="NumberedlistHTA"/>
        <w:numPr>
          <w:ilvl w:val="0"/>
          <w:numId w:val="0"/>
        </w:numPr>
        <w:spacing w:after="0" w:line="320" w:lineRule="exact"/>
        <w:rPr>
          <w:rFonts w:eastAsia="Arial"/>
          <w:color w:val="000000"/>
          <w:sz w:val="32"/>
          <w:szCs w:val="32"/>
        </w:rPr>
      </w:pPr>
    </w:p>
    <w:p w14:paraId="6B8610A4" w14:textId="719100A9" w:rsidR="00527E28" w:rsidRDefault="062B84E1" w:rsidP="00093423">
      <w:pPr>
        <w:pStyle w:val="NumberedlistHTA"/>
        <w:spacing w:after="0" w:line="320" w:lineRule="exact"/>
        <w:ind w:left="426" w:hanging="426"/>
      </w:pPr>
      <w:r>
        <w:t xml:space="preserve">We have underspent </w:t>
      </w:r>
      <w:r w:rsidR="2DDCE0E0">
        <w:t xml:space="preserve">by £439k against budget. </w:t>
      </w:r>
      <w:r w:rsidR="616D70CF">
        <w:t>Areas of significant underspend are detailed below:</w:t>
      </w:r>
    </w:p>
    <w:p w14:paraId="73370FC1" w14:textId="77777777" w:rsidR="005247F3" w:rsidRDefault="005247F3" w:rsidP="00093423">
      <w:pPr>
        <w:pStyle w:val="NumberedlistHTA"/>
        <w:numPr>
          <w:ilvl w:val="0"/>
          <w:numId w:val="0"/>
        </w:numPr>
        <w:spacing w:after="0" w:line="320" w:lineRule="exact"/>
        <w:ind w:left="426"/>
      </w:pPr>
    </w:p>
    <w:p w14:paraId="41291AAC" w14:textId="265DF035" w:rsidR="00D676F1" w:rsidRDefault="616D70CF" w:rsidP="00093423">
      <w:pPr>
        <w:pStyle w:val="NumberedlistHTA"/>
        <w:numPr>
          <w:ilvl w:val="1"/>
          <w:numId w:val="2"/>
        </w:numPr>
        <w:spacing w:after="0" w:line="320" w:lineRule="exact"/>
        <w:ind w:left="1134" w:hanging="708"/>
      </w:pPr>
      <w:r>
        <w:t>Salaries and wages - £143k</w:t>
      </w:r>
      <w:r w:rsidR="167BCB47">
        <w:t>, in particular staff salaries were underspen</w:t>
      </w:r>
      <w:r w:rsidR="5DB4290B">
        <w:t>t</w:t>
      </w:r>
      <w:r w:rsidR="167BCB47">
        <w:t xml:space="preserve"> by £169k </w:t>
      </w:r>
      <w:r w:rsidR="75ABAD14">
        <w:t xml:space="preserve">due to turnover </w:t>
      </w:r>
      <w:r w:rsidR="167BCB47">
        <w:t>which is offset by an overspend on contingent labour of £64k</w:t>
      </w:r>
      <w:r w:rsidR="0A921787">
        <w:t xml:space="preserve">. </w:t>
      </w:r>
      <w:r w:rsidR="4F62C967">
        <w:t>The use of temporary staff to cover key roles that have taken time to fill in a volatile market.</w:t>
      </w:r>
      <w:r w:rsidR="507A9930">
        <w:t xml:space="preserve"> The balance of £38k relates to Board Members where we are carrying at least 4 vacancies whi</w:t>
      </w:r>
      <w:r w:rsidR="586AB551">
        <w:t>ch we expect to fill in the coming months.</w:t>
      </w:r>
    </w:p>
    <w:p w14:paraId="0D30ED41" w14:textId="77777777" w:rsidR="00807279" w:rsidRDefault="00807279" w:rsidP="00093423">
      <w:pPr>
        <w:pStyle w:val="NumberedlistHTA"/>
        <w:numPr>
          <w:ilvl w:val="0"/>
          <w:numId w:val="0"/>
        </w:numPr>
        <w:spacing w:after="0" w:line="320" w:lineRule="exact"/>
        <w:ind w:left="1134"/>
      </w:pPr>
    </w:p>
    <w:p w14:paraId="4EC80155" w14:textId="485DD71B" w:rsidR="00066F3A" w:rsidRDefault="1DF103F6" w:rsidP="00093423">
      <w:pPr>
        <w:pStyle w:val="NumberedlistHTA"/>
        <w:numPr>
          <w:ilvl w:val="1"/>
          <w:numId w:val="2"/>
        </w:numPr>
        <w:spacing w:after="0" w:line="320" w:lineRule="exact"/>
        <w:ind w:left="1134" w:hanging="708"/>
      </w:pPr>
      <w:r>
        <w:t xml:space="preserve">Other </w:t>
      </w:r>
      <w:r w:rsidR="00DF5D6C">
        <w:t>s</w:t>
      </w:r>
      <w:r>
        <w:t>taff costs - £80k</w:t>
      </w:r>
      <w:r w:rsidR="05B4075F">
        <w:t xml:space="preserve"> underspent is in part due to </w:t>
      </w:r>
      <w:r w:rsidR="7BB7EEF3">
        <w:t>reduced spend against</w:t>
      </w:r>
      <w:r w:rsidR="05B4075F">
        <w:t xml:space="preserve"> training </w:t>
      </w:r>
      <w:r w:rsidR="48357509">
        <w:t xml:space="preserve">(£51k) </w:t>
      </w:r>
      <w:r w:rsidR="7C339C8D">
        <w:t>correlates to the increased workload across the business.</w:t>
      </w:r>
      <w:r w:rsidR="579BBE75">
        <w:t xml:space="preserve"> </w:t>
      </w:r>
      <w:r w:rsidR="68D6E0FE">
        <w:t>The second element is our travel and subsistence costs which are also down against budget by £</w:t>
      </w:r>
      <w:r w:rsidR="4D2AA8CC">
        <w:t>23k</w:t>
      </w:r>
      <w:r w:rsidR="5703CA26">
        <w:t>.</w:t>
      </w:r>
    </w:p>
    <w:p w14:paraId="14C221A2" w14:textId="77777777" w:rsidR="00807279" w:rsidRDefault="00807279" w:rsidP="00093423">
      <w:pPr>
        <w:pStyle w:val="NumberedlistHTA"/>
        <w:numPr>
          <w:ilvl w:val="0"/>
          <w:numId w:val="0"/>
        </w:numPr>
        <w:spacing w:after="0" w:line="320" w:lineRule="exact"/>
      </w:pPr>
    </w:p>
    <w:p w14:paraId="7041BB07" w14:textId="79BA11F9" w:rsidR="003B7B85" w:rsidRDefault="2CB378D4" w:rsidP="00093423">
      <w:pPr>
        <w:pStyle w:val="NumberedlistHTA"/>
        <w:numPr>
          <w:ilvl w:val="1"/>
          <w:numId w:val="2"/>
        </w:numPr>
        <w:spacing w:after="0" w:line="320" w:lineRule="exact"/>
        <w:ind w:left="1134" w:hanging="708"/>
      </w:pPr>
      <w:r>
        <w:t>Legal and Professional costs are over budget by £</w:t>
      </w:r>
      <w:r w:rsidR="6DA22ADB">
        <w:t>42k. This is represented by a</w:t>
      </w:r>
      <w:r w:rsidR="07443B7F">
        <w:t xml:space="preserve"> significant</w:t>
      </w:r>
      <w:r w:rsidR="6DA22ADB">
        <w:t xml:space="preserve"> increase in legal advice sought across </w:t>
      </w:r>
      <w:r w:rsidR="7AACF013">
        <w:t>several</w:t>
      </w:r>
      <w:r w:rsidR="6DA22ADB">
        <w:t xml:space="preserve"> areas of work being conducted. Professional fees are on budget.</w:t>
      </w:r>
    </w:p>
    <w:p w14:paraId="054E8D87" w14:textId="77777777" w:rsidR="00807279" w:rsidRDefault="00807279" w:rsidP="00093423">
      <w:pPr>
        <w:pStyle w:val="NumberedlistHTA"/>
        <w:numPr>
          <w:ilvl w:val="0"/>
          <w:numId w:val="0"/>
        </w:numPr>
        <w:spacing w:after="0" w:line="320" w:lineRule="exact"/>
      </w:pPr>
    </w:p>
    <w:p w14:paraId="65C976B3" w14:textId="4CAD15CA" w:rsidR="00473C68" w:rsidRDefault="27A8067F" w:rsidP="00093423">
      <w:pPr>
        <w:pStyle w:val="NumberedlistHTA"/>
        <w:numPr>
          <w:ilvl w:val="1"/>
          <w:numId w:val="2"/>
        </w:numPr>
        <w:spacing w:after="0" w:line="320" w:lineRule="exact"/>
        <w:ind w:left="1134" w:hanging="708"/>
      </w:pPr>
      <w:r>
        <w:t xml:space="preserve">Consultancy costs </w:t>
      </w:r>
      <w:r w:rsidR="0F346428">
        <w:t xml:space="preserve">ended the year overspent by £64k. </w:t>
      </w:r>
      <w:r w:rsidR="04671672">
        <w:t>The majority of the spend relates to the Fuller Inquiry which was previously funded but these funds were returned</w:t>
      </w:r>
      <w:r w:rsidR="2BE7A217">
        <w:t xml:space="preserve"> via our grant in aid. Additional consultancy spend not budgeted for related to changes required to the finance system which tot</w:t>
      </w:r>
      <w:r w:rsidR="19C1F092">
        <w:t>alled £5k</w:t>
      </w:r>
      <w:r w:rsidR="00807279">
        <w:t>.</w:t>
      </w:r>
    </w:p>
    <w:p w14:paraId="05F9F0D1" w14:textId="77777777" w:rsidR="00807279" w:rsidRDefault="00807279" w:rsidP="00093423">
      <w:pPr>
        <w:pStyle w:val="NumberedlistHTA"/>
        <w:numPr>
          <w:ilvl w:val="0"/>
          <w:numId w:val="0"/>
        </w:numPr>
        <w:spacing w:after="0" w:line="320" w:lineRule="exact"/>
      </w:pPr>
    </w:p>
    <w:p w14:paraId="04501C5A" w14:textId="77777777" w:rsidR="00C30FE5" w:rsidRDefault="5703CA26" w:rsidP="00093423">
      <w:pPr>
        <w:pStyle w:val="NumberedlistHTA"/>
        <w:numPr>
          <w:ilvl w:val="1"/>
          <w:numId w:val="2"/>
        </w:numPr>
        <w:spacing w:after="0" w:line="320" w:lineRule="exact"/>
        <w:ind w:left="1134" w:hanging="708"/>
      </w:pPr>
      <w:r>
        <w:t xml:space="preserve">Accommodation costs </w:t>
      </w:r>
      <w:r w:rsidR="454C938B">
        <w:t>are £97k below budget</w:t>
      </w:r>
      <w:r w:rsidR="1272CAD0">
        <w:t xml:space="preserve">. This </w:t>
      </w:r>
      <w:r w:rsidR="09E1B4D2">
        <w:t xml:space="preserve">is a notional variance that has arisen due to changes in how we account for our </w:t>
      </w:r>
      <w:r w:rsidR="49DBA111">
        <w:t xml:space="preserve">rent/lease of 2 Redman Place. From 1 April 2022, the </w:t>
      </w:r>
      <w:r w:rsidR="0A5CCB46">
        <w:t>HT</w:t>
      </w:r>
      <w:r w:rsidR="3FECB938">
        <w:t>A</w:t>
      </w:r>
      <w:r w:rsidR="49DBA111">
        <w:t xml:space="preserve"> has an asset on its balance sheet </w:t>
      </w:r>
      <w:r w:rsidR="44B21572">
        <w:t xml:space="preserve">which represents the </w:t>
      </w:r>
      <w:r w:rsidR="1E3594F9">
        <w:t>l</w:t>
      </w:r>
      <w:r w:rsidR="1756CCC8">
        <w:t>ease</w:t>
      </w:r>
      <w:r w:rsidR="44B21572">
        <w:t xml:space="preserve"> of space with 2RP. At the end of the year, our rent payments are removed from the Income and Expenditure </w:t>
      </w:r>
    </w:p>
    <w:p w14:paraId="105C6145" w14:textId="77777777" w:rsidR="00C30FE5" w:rsidRDefault="00C30FE5" w:rsidP="00C30FE5">
      <w:pPr>
        <w:pStyle w:val="ListParagraph"/>
      </w:pPr>
    </w:p>
    <w:p w14:paraId="32A69676" w14:textId="7264DD97" w:rsidR="00807279" w:rsidRDefault="44B21572" w:rsidP="00C30FE5">
      <w:pPr>
        <w:pStyle w:val="NumberedlistHTA"/>
        <w:numPr>
          <w:ilvl w:val="0"/>
          <w:numId w:val="0"/>
        </w:numPr>
        <w:spacing w:after="0" w:line="320" w:lineRule="exact"/>
        <w:ind w:left="1134"/>
      </w:pPr>
      <w:r>
        <w:lastRenderedPageBreak/>
        <w:t xml:space="preserve">Account and transferred to the Balance Sheet thus creating </w:t>
      </w:r>
      <w:r w:rsidR="1816B1B2">
        <w:t xml:space="preserve">an underspend. It may be that </w:t>
      </w:r>
      <w:r w:rsidR="006BE67C">
        <w:t xml:space="preserve">going forward, we reflect this </w:t>
      </w:r>
      <w:r w:rsidR="5BB5198C">
        <w:t>in</w:t>
      </w:r>
      <w:r w:rsidR="006BE67C">
        <w:t xml:space="preserve"> future budget setting.</w:t>
      </w:r>
    </w:p>
    <w:p w14:paraId="286965E5" w14:textId="77777777" w:rsidR="00807279" w:rsidRDefault="00807279" w:rsidP="00093423">
      <w:pPr>
        <w:pStyle w:val="NumberedlistHTA"/>
        <w:numPr>
          <w:ilvl w:val="0"/>
          <w:numId w:val="0"/>
        </w:numPr>
        <w:spacing w:after="0" w:line="320" w:lineRule="exact"/>
      </w:pPr>
    </w:p>
    <w:p w14:paraId="5D8632C0" w14:textId="676243F5" w:rsidR="0087404A" w:rsidRDefault="03678AED" w:rsidP="00093423">
      <w:pPr>
        <w:pStyle w:val="NumberedlistHTA"/>
        <w:numPr>
          <w:ilvl w:val="1"/>
          <w:numId w:val="2"/>
        </w:numPr>
        <w:spacing w:after="0" w:line="320" w:lineRule="exact"/>
        <w:ind w:left="1134" w:hanging="708"/>
      </w:pPr>
      <w:r>
        <w:t xml:space="preserve">Non-cash cost overspend, relates to the inclusion of the </w:t>
      </w:r>
      <w:r w:rsidR="007E720E">
        <w:t>l</w:t>
      </w:r>
      <w:r>
        <w:t>ease and its subsequent depreciation</w:t>
      </w:r>
      <w:r w:rsidR="7CE46FE1">
        <w:t xml:space="preserve"> and finance cost (interest).</w:t>
      </w:r>
    </w:p>
    <w:p w14:paraId="7318E24B" w14:textId="77777777" w:rsidR="00717CE5" w:rsidRDefault="00717CE5" w:rsidP="00093423">
      <w:pPr>
        <w:pStyle w:val="NumberedlistHTA"/>
        <w:numPr>
          <w:ilvl w:val="0"/>
          <w:numId w:val="0"/>
        </w:numPr>
        <w:spacing w:after="0" w:line="320" w:lineRule="exact"/>
        <w:ind w:left="1134"/>
      </w:pPr>
    </w:p>
    <w:p w14:paraId="68606AD7" w14:textId="7F26896E" w:rsidR="00A21779" w:rsidRDefault="5429C537" w:rsidP="00093423">
      <w:pPr>
        <w:pStyle w:val="NumberedlistHTA"/>
        <w:numPr>
          <w:ilvl w:val="1"/>
          <w:numId w:val="2"/>
        </w:numPr>
        <w:spacing w:after="0" w:line="320" w:lineRule="exact"/>
        <w:ind w:left="1134" w:hanging="709"/>
      </w:pPr>
      <w:r>
        <w:t xml:space="preserve">The budgeted contingency of £200k was </w:t>
      </w:r>
      <w:r w:rsidR="582F5670">
        <w:t xml:space="preserve">set aside for other pieces of work which were delayed some in part due to the requirement for business cases </w:t>
      </w:r>
      <w:r w:rsidR="4FF0BCF9">
        <w:t xml:space="preserve">in adherence to </w:t>
      </w:r>
      <w:r w:rsidR="7F780637">
        <w:t>C</w:t>
      </w:r>
      <w:r w:rsidR="003487ED">
        <w:t xml:space="preserve">abinet </w:t>
      </w:r>
      <w:r w:rsidR="2BEB1674">
        <w:t>O</w:t>
      </w:r>
      <w:r w:rsidR="003487ED">
        <w:t>ffice controls</w:t>
      </w:r>
      <w:r w:rsidR="4899704B">
        <w:t xml:space="preserve"> and enhanced DHSC</w:t>
      </w:r>
      <w:r w:rsidR="4FF0BCF9">
        <w:t xml:space="preserve"> controls.</w:t>
      </w:r>
    </w:p>
    <w:p w14:paraId="53EDCE40" w14:textId="77777777" w:rsidR="006278EF" w:rsidRDefault="006278EF" w:rsidP="006278EF">
      <w:pPr>
        <w:pStyle w:val="ListParagraph"/>
      </w:pPr>
    </w:p>
    <w:p w14:paraId="546F7BD0" w14:textId="77777777" w:rsidR="006278EF" w:rsidRPr="006278EF" w:rsidRDefault="006278EF" w:rsidP="006278EF">
      <w:pPr>
        <w:pStyle w:val="NumberedlistHTA"/>
        <w:numPr>
          <w:ilvl w:val="0"/>
          <w:numId w:val="0"/>
        </w:numPr>
        <w:spacing w:after="0" w:line="240" w:lineRule="auto"/>
        <w:ind w:left="1134"/>
      </w:pPr>
    </w:p>
    <w:p w14:paraId="5D4B0A9C" w14:textId="57E0A6D3" w:rsidR="00527E28" w:rsidRDefault="00527E28" w:rsidP="00C30FE5">
      <w:pPr>
        <w:pStyle w:val="NumberedlistHTA"/>
        <w:numPr>
          <w:ilvl w:val="0"/>
          <w:numId w:val="0"/>
        </w:numPr>
        <w:spacing w:after="0" w:line="320" w:lineRule="exact"/>
        <w:rPr>
          <w:rFonts w:eastAsia="Arial"/>
          <w:b/>
          <w:bCs/>
          <w:sz w:val="32"/>
          <w:szCs w:val="32"/>
        </w:rPr>
      </w:pPr>
      <w:r w:rsidRPr="005247F3">
        <w:rPr>
          <w:rFonts w:eastAsia="Arial"/>
          <w:b/>
          <w:bCs/>
          <w:sz w:val="32"/>
          <w:szCs w:val="32"/>
        </w:rPr>
        <w:t>Outturn</w:t>
      </w:r>
    </w:p>
    <w:p w14:paraId="697C04D7" w14:textId="77777777" w:rsidR="00777B37" w:rsidRPr="005247F3" w:rsidRDefault="00777B37" w:rsidP="00C30FE5">
      <w:pPr>
        <w:pStyle w:val="NumberedlistHTA"/>
        <w:numPr>
          <w:ilvl w:val="0"/>
          <w:numId w:val="0"/>
        </w:numPr>
        <w:spacing w:after="0" w:line="320" w:lineRule="exact"/>
        <w:rPr>
          <w:rFonts w:eastAsia="Arial"/>
          <w:b/>
          <w:bCs/>
          <w:sz w:val="32"/>
          <w:szCs w:val="32"/>
        </w:rPr>
      </w:pPr>
    </w:p>
    <w:p w14:paraId="3CC5F71F" w14:textId="7A73AA57" w:rsidR="6CB7CD40" w:rsidRDefault="7CE46FE1" w:rsidP="00C30FE5">
      <w:pPr>
        <w:pStyle w:val="NumberedlistHTA"/>
        <w:spacing w:after="0" w:line="320" w:lineRule="exact"/>
        <w:ind w:left="426" w:hanging="426"/>
      </w:pPr>
      <w:r>
        <w:t>Subject to the finalisation of our year end audit</w:t>
      </w:r>
      <w:r w:rsidR="6675818E">
        <w:t>, the current underspend is not expected to change significantly.</w:t>
      </w:r>
    </w:p>
    <w:p w14:paraId="614FE711" w14:textId="77777777" w:rsidR="005C6542" w:rsidRDefault="005C6542" w:rsidP="005C6542">
      <w:pPr>
        <w:pStyle w:val="NumberedlistHTA"/>
        <w:numPr>
          <w:ilvl w:val="0"/>
          <w:numId w:val="0"/>
        </w:numPr>
        <w:spacing w:after="0" w:line="240" w:lineRule="auto"/>
        <w:ind w:left="357"/>
      </w:pPr>
    </w:p>
    <w:p w14:paraId="1AB06844" w14:textId="2080AA72" w:rsidR="00F23566" w:rsidRPr="005C6542" w:rsidRDefault="00B66832" w:rsidP="6CB7CD40">
      <w:pPr>
        <w:pStyle w:val="NumberedlistHTA"/>
        <w:numPr>
          <w:ilvl w:val="0"/>
          <w:numId w:val="0"/>
        </w:numPr>
        <w:ind w:left="357" w:hanging="357"/>
        <w:rPr>
          <w:b/>
          <w:sz w:val="32"/>
          <w:szCs w:val="32"/>
        </w:rPr>
      </w:pPr>
      <w:r w:rsidRPr="005C6542">
        <w:rPr>
          <w:b/>
          <w:sz w:val="32"/>
          <w:szCs w:val="32"/>
        </w:rPr>
        <w:t>Other key performance indicators</w:t>
      </w:r>
    </w:p>
    <w:p w14:paraId="6B783C00" w14:textId="6D10FD6E" w:rsidR="00B66832" w:rsidRPr="00E921EC" w:rsidRDefault="00B66832" w:rsidP="00E921EC">
      <w:pPr>
        <w:pStyle w:val="NumberedlistHTA"/>
        <w:numPr>
          <w:ilvl w:val="0"/>
          <w:numId w:val="0"/>
        </w:numPr>
        <w:ind w:left="714" w:hanging="357"/>
        <w:rPr>
          <w:b/>
          <w:bCs/>
        </w:rPr>
      </w:pPr>
      <w:r w:rsidRPr="00E921EC">
        <w:rPr>
          <w:b/>
          <w:bCs/>
        </w:rPr>
        <w:t>Debtors</w:t>
      </w:r>
    </w:p>
    <w:p w14:paraId="37BCA0D6" w14:textId="01C78124" w:rsidR="00DD6FDF" w:rsidRDefault="086A0D47" w:rsidP="005C6542">
      <w:pPr>
        <w:pStyle w:val="NumberedlistHTA"/>
        <w:spacing w:after="160" w:line="320" w:lineRule="exact"/>
        <w:ind w:left="426" w:hanging="426"/>
      </w:pPr>
      <w:r>
        <w:t xml:space="preserve">Outstanding debt </w:t>
      </w:r>
      <w:r w:rsidR="5A0FBDE6">
        <w:t xml:space="preserve">from licensing activities is provided below. </w:t>
      </w:r>
    </w:p>
    <w:tbl>
      <w:tblPr>
        <w:tblStyle w:val="GridTable2-Accent41"/>
        <w:tblW w:w="7435" w:type="dxa"/>
        <w:tblLook w:val="04A0" w:firstRow="1" w:lastRow="0" w:firstColumn="1" w:lastColumn="0" w:noHBand="0" w:noVBand="1"/>
      </w:tblPr>
      <w:tblGrid>
        <w:gridCol w:w="1815"/>
        <w:gridCol w:w="2130"/>
        <w:gridCol w:w="2310"/>
        <w:gridCol w:w="1180"/>
      </w:tblGrid>
      <w:tr w:rsidR="007E55D4" w:rsidRPr="007E55D4" w14:paraId="1D2C7416" w14:textId="77777777" w:rsidTr="7F4DEF86">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15" w:type="dxa"/>
          </w:tcPr>
          <w:p w14:paraId="371B31BB" w14:textId="77777777" w:rsidR="007E55D4" w:rsidRPr="007E55D4" w:rsidRDefault="007E55D4" w:rsidP="007E55D4">
            <w:pPr>
              <w:spacing w:line="320" w:lineRule="exact"/>
              <w:rPr>
                <w:rFonts w:ascii="Arial" w:eastAsia="Times New Roman" w:hAnsi="Arial" w:cs="Times New Roman"/>
                <w:sz w:val="24"/>
                <w:szCs w:val="24"/>
              </w:rPr>
            </w:pPr>
            <w:r w:rsidRPr="007E55D4">
              <w:rPr>
                <w:rFonts w:ascii="Arial" w:eastAsia="Times New Roman" w:hAnsi="Arial" w:cs="Times New Roman"/>
                <w:sz w:val="24"/>
                <w:szCs w:val="24"/>
              </w:rPr>
              <w:t>Sector</w:t>
            </w:r>
          </w:p>
        </w:tc>
        <w:tc>
          <w:tcPr>
            <w:tcW w:w="2130" w:type="dxa"/>
          </w:tcPr>
          <w:p w14:paraId="294F9EC3" w14:textId="77777777" w:rsidR="007E55D4" w:rsidRPr="007E55D4" w:rsidRDefault="007E55D4" w:rsidP="007E55D4">
            <w:pPr>
              <w:spacing w:line="320" w:lineRule="exact"/>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sz w:val="24"/>
                <w:szCs w:val="24"/>
              </w:rPr>
            </w:pPr>
            <w:r w:rsidRPr="007E55D4">
              <w:rPr>
                <w:rFonts w:ascii="Arial" w:eastAsia="Times New Roman" w:hAnsi="Arial" w:cs="Times New Roman"/>
                <w:sz w:val="24"/>
                <w:szCs w:val="24"/>
              </w:rPr>
              <w:t>Number of establishments</w:t>
            </w:r>
          </w:p>
        </w:tc>
        <w:tc>
          <w:tcPr>
            <w:tcW w:w="2310" w:type="dxa"/>
          </w:tcPr>
          <w:p w14:paraId="6E8A71C8" w14:textId="77777777" w:rsidR="007E55D4" w:rsidRPr="007E55D4" w:rsidRDefault="007E55D4" w:rsidP="00264ED8">
            <w:pPr>
              <w:spacing w:line="320" w:lineRule="exac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sz w:val="24"/>
                <w:szCs w:val="24"/>
              </w:rPr>
            </w:pPr>
            <w:r w:rsidRPr="007E55D4">
              <w:rPr>
                <w:rFonts w:ascii="Arial" w:eastAsia="Times New Roman" w:hAnsi="Arial" w:cs="Times New Roman"/>
                <w:sz w:val="24"/>
                <w:szCs w:val="24"/>
              </w:rPr>
              <w:t>Value of debt</w:t>
            </w:r>
          </w:p>
          <w:p w14:paraId="503C08C8" w14:textId="77777777" w:rsidR="007E55D4" w:rsidRPr="007E55D4" w:rsidRDefault="007E55D4" w:rsidP="007E55D4">
            <w:pPr>
              <w:spacing w:line="320" w:lineRule="exac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sz w:val="24"/>
                <w:szCs w:val="24"/>
              </w:rPr>
            </w:pPr>
            <w:r w:rsidRPr="007E55D4">
              <w:rPr>
                <w:rFonts w:ascii="Arial" w:eastAsia="Times New Roman" w:hAnsi="Arial" w:cs="Times New Roman"/>
                <w:sz w:val="24"/>
                <w:szCs w:val="24"/>
              </w:rPr>
              <w:t>£</w:t>
            </w:r>
          </w:p>
        </w:tc>
        <w:tc>
          <w:tcPr>
            <w:tcW w:w="1180" w:type="dxa"/>
          </w:tcPr>
          <w:p w14:paraId="2A29B5B4" w14:textId="26CF2D07" w:rsidR="007E55D4" w:rsidRPr="007E55D4" w:rsidRDefault="689AF67B" w:rsidP="00264ED8">
            <w:pPr>
              <w:spacing w:line="320" w:lineRule="exac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sz w:val="24"/>
                <w:szCs w:val="24"/>
              </w:rPr>
            </w:pPr>
            <w:r w:rsidRPr="2DAF0D35">
              <w:rPr>
                <w:rFonts w:ascii="Arial" w:eastAsia="Times New Roman" w:hAnsi="Arial" w:cs="Times New Roman"/>
                <w:sz w:val="24"/>
                <w:szCs w:val="24"/>
              </w:rPr>
              <w:t>%</w:t>
            </w:r>
          </w:p>
        </w:tc>
      </w:tr>
      <w:tr w:rsidR="007E55D4" w:rsidRPr="007E55D4" w14:paraId="043864C4" w14:textId="77777777" w:rsidTr="7F4DEF8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15" w:type="dxa"/>
            <w:shd w:val="clear" w:color="auto" w:fill="auto"/>
          </w:tcPr>
          <w:p w14:paraId="4D6E4496" w14:textId="77777777" w:rsidR="007E55D4" w:rsidRPr="007E55D4" w:rsidRDefault="007E55D4" w:rsidP="007E55D4">
            <w:pPr>
              <w:spacing w:line="320" w:lineRule="exact"/>
              <w:rPr>
                <w:rFonts w:ascii="Arial" w:eastAsia="Times New Roman" w:hAnsi="Arial" w:cs="Times New Roman"/>
                <w:sz w:val="24"/>
                <w:szCs w:val="24"/>
              </w:rPr>
            </w:pPr>
            <w:r w:rsidRPr="007E55D4">
              <w:rPr>
                <w:rFonts w:ascii="Arial" w:eastAsia="Times New Roman" w:hAnsi="Arial" w:cs="Times New Roman"/>
                <w:sz w:val="24"/>
                <w:szCs w:val="24"/>
              </w:rPr>
              <w:t>NHS</w:t>
            </w:r>
          </w:p>
        </w:tc>
        <w:tc>
          <w:tcPr>
            <w:tcW w:w="2130" w:type="dxa"/>
            <w:shd w:val="clear" w:color="auto" w:fill="auto"/>
          </w:tcPr>
          <w:p w14:paraId="1A4A0B1B" w14:textId="76732670" w:rsidR="007E55D4" w:rsidRPr="007E55D4" w:rsidRDefault="00664458" w:rsidP="007E55D4">
            <w:pPr>
              <w:spacing w:line="320" w:lineRule="exact"/>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4"/>
                <w:szCs w:val="24"/>
              </w:rPr>
            </w:pPr>
            <w:r>
              <w:rPr>
                <w:rFonts w:ascii="Arial" w:eastAsia="Times New Roman" w:hAnsi="Arial" w:cs="Times New Roman"/>
                <w:sz w:val="24"/>
                <w:szCs w:val="24"/>
              </w:rPr>
              <w:t>7</w:t>
            </w:r>
          </w:p>
        </w:tc>
        <w:tc>
          <w:tcPr>
            <w:tcW w:w="2310" w:type="dxa"/>
            <w:shd w:val="clear" w:color="auto" w:fill="auto"/>
          </w:tcPr>
          <w:p w14:paraId="2598D1C5" w14:textId="2665DC51" w:rsidR="007E55D4" w:rsidRPr="007E55D4" w:rsidRDefault="007E55D4" w:rsidP="007E55D4">
            <w:pPr>
              <w:spacing w:line="320" w:lineRule="exact"/>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4"/>
                <w:szCs w:val="24"/>
              </w:rPr>
            </w:pPr>
            <w:r w:rsidRPr="007E55D4">
              <w:rPr>
                <w:rFonts w:ascii="Arial" w:eastAsia="Times New Roman" w:hAnsi="Arial" w:cs="Times New Roman"/>
                <w:sz w:val="24"/>
                <w:szCs w:val="24"/>
              </w:rPr>
              <w:t>£</w:t>
            </w:r>
            <w:r w:rsidR="00BA14BA">
              <w:rPr>
                <w:rFonts w:ascii="Arial" w:eastAsia="Times New Roman" w:hAnsi="Arial" w:cs="Times New Roman"/>
                <w:sz w:val="24"/>
                <w:szCs w:val="24"/>
              </w:rPr>
              <w:t>33</w:t>
            </w:r>
            <w:r w:rsidRPr="007E55D4">
              <w:rPr>
                <w:rFonts w:ascii="Arial" w:eastAsia="Times New Roman" w:hAnsi="Arial" w:cs="Times New Roman"/>
                <w:sz w:val="24"/>
                <w:szCs w:val="24"/>
              </w:rPr>
              <w:t>,</w:t>
            </w:r>
            <w:r w:rsidR="00BA14BA">
              <w:rPr>
                <w:rFonts w:ascii="Arial" w:eastAsia="Times New Roman" w:hAnsi="Arial" w:cs="Times New Roman"/>
                <w:sz w:val="24"/>
                <w:szCs w:val="24"/>
              </w:rPr>
              <w:t>779</w:t>
            </w:r>
          </w:p>
        </w:tc>
        <w:tc>
          <w:tcPr>
            <w:tcW w:w="1180" w:type="dxa"/>
            <w:shd w:val="clear" w:color="auto" w:fill="auto"/>
          </w:tcPr>
          <w:p w14:paraId="72B42690" w14:textId="2D3A9A1D" w:rsidR="007E55D4" w:rsidRPr="007E55D4" w:rsidRDefault="00BA14BA" w:rsidP="007E55D4">
            <w:pPr>
              <w:spacing w:line="320" w:lineRule="exact"/>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4"/>
                <w:szCs w:val="24"/>
              </w:rPr>
            </w:pPr>
            <w:r>
              <w:rPr>
                <w:rFonts w:ascii="Arial" w:eastAsia="Times New Roman" w:hAnsi="Arial" w:cs="Times New Roman"/>
                <w:sz w:val="24"/>
                <w:szCs w:val="24"/>
              </w:rPr>
              <w:t>30%</w:t>
            </w:r>
          </w:p>
        </w:tc>
      </w:tr>
      <w:tr w:rsidR="007E55D4" w:rsidRPr="007E55D4" w14:paraId="2DAF4012" w14:textId="77777777" w:rsidTr="7F4DEF86">
        <w:trPr>
          <w:trHeight w:val="250"/>
        </w:trPr>
        <w:tc>
          <w:tcPr>
            <w:cnfStyle w:val="001000000000" w:firstRow="0" w:lastRow="0" w:firstColumn="1" w:lastColumn="0" w:oddVBand="0" w:evenVBand="0" w:oddHBand="0" w:evenHBand="0" w:firstRowFirstColumn="0" w:firstRowLastColumn="0" w:lastRowFirstColumn="0" w:lastRowLastColumn="0"/>
            <w:tcW w:w="1815" w:type="dxa"/>
            <w:shd w:val="clear" w:color="auto" w:fill="auto"/>
          </w:tcPr>
          <w:p w14:paraId="027E6FD3" w14:textId="77777777" w:rsidR="007E55D4" w:rsidRPr="007E55D4" w:rsidRDefault="007E55D4" w:rsidP="007E55D4">
            <w:pPr>
              <w:spacing w:line="320" w:lineRule="exact"/>
              <w:rPr>
                <w:rFonts w:ascii="Arial" w:eastAsia="Times New Roman" w:hAnsi="Arial" w:cs="Times New Roman"/>
                <w:sz w:val="24"/>
                <w:szCs w:val="24"/>
              </w:rPr>
            </w:pPr>
            <w:r w:rsidRPr="007E55D4">
              <w:rPr>
                <w:rFonts w:ascii="Arial" w:eastAsia="Times New Roman" w:hAnsi="Arial" w:cs="Times New Roman"/>
                <w:sz w:val="24"/>
                <w:szCs w:val="24"/>
              </w:rPr>
              <w:t>Government Bodies</w:t>
            </w:r>
            <w:r w:rsidRPr="007E55D4">
              <w:rPr>
                <w:rFonts w:ascii="Arial" w:eastAsia="Times New Roman" w:hAnsi="Arial" w:cs="Times New Roman"/>
                <w:sz w:val="24"/>
                <w:szCs w:val="24"/>
                <w:vertAlign w:val="superscript"/>
              </w:rPr>
              <w:footnoteReference w:id="2"/>
            </w:r>
          </w:p>
        </w:tc>
        <w:tc>
          <w:tcPr>
            <w:tcW w:w="2130" w:type="dxa"/>
            <w:shd w:val="clear" w:color="auto" w:fill="auto"/>
          </w:tcPr>
          <w:p w14:paraId="4794A31B" w14:textId="175D52FF" w:rsidR="007E55D4" w:rsidRPr="007E55D4" w:rsidRDefault="00664458" w:rsidP="007E55D4">
            <w:pPr>
              <w:spacing w:line="320" w:lineRule="exact"/>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4"/>
                <w:szCs w:val="24"/>
              </w:rPr>
            </w:pPr>
            <w:r>
              <w:rPr>
                <w:rFonts w:ascii="Arial" w:eastAsia="Times New Roman" w:hAnsi="Arial" w:cs="Times New Roman"/>
                <w:sz w:val="24"/>
                <w:szCs w:val="24"/>
              </w:rPr>
              <w:t>1</w:t>
            </w:r>
          </w:p>
        </w:tc>
        <w:tc>
          <w:tcPr>
            <w:tcW w:w="2310" w:type="dxa"/>
            <w:shd w:val="clear" w:color="auto" w:fill="auto"/>
          </w:tcPr>
          <w:p w14:paraId="2C421828" w14:textId="3C72097B" w:rsidR="007E55D4" w:rsidRPr="007E55D4" w:rsidRDefault="007E55D4" w:rsidP="007E55D4">
            <w:pPr>
              <w:spacing w:line="320" w:lineRule="exact"/>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4"/>
                <w:szCs w:val="24"/>
              </w:rPr>
            </w:pPr>
            <w:r w:rsidRPr="007E55D4">
              <w:rPr>
                <w:rFonts w:ascii="Arial" w:eastAsia="Times New Roman" w:hAnsi="Arial" w:cs="Times New Roman"/>
                <w:sz w:val="24"/>
                <w:szCs w:val="24"/>
              </w:rPr>
              <w:t>£</w:t>
            </w:r>
            <w:r w:rsidR="00911BCA">
              <w:rPr>
                <w:rFonts w:ascii="Arial" w:eastAsia="Times New Roman" w:hAnsi="Arial" w:cs="Times New Roman"/>
                <w:sz w:val="24"/>
                <w:szCs w:val="24"/>
              </w:rPr>
              <w:t>4</w:t>
            </w:r>
            <w:r w:rsidRPr="007E55D4">
              <w:rPr>
                <w:rFonts w:ascii="Arial" w:eastAsia="Times New Roman" w:hAnsi="Arial" w:cs="Times New Roman"/>
                <w:sz w:val="24"/>
                <w:szCs w:val="24"/>
              </w:rPr>
              <w:t>,</w:t>
            </w:r>
            <w:r w:rsidR="00911BCA">
              <w:rPr>
                <w:rFonts w:ascii="Arial" w:eastAsia="Times New Roman" w:hAnsi="Arial" w:cs="Times New Roman"/>
                <w:sz w:val="24"/>
                <w:szCs w:val="24"/>
              </w:rPr>
              <w:t>141</w:t>
            </w:r>
          </w:p>
        </w:tc>
        <w:tc>
          <w:tcPr>
            <w:tcW w:w="1180" w:type="dxa"/>
            <w:shd w:val="clear" w:color="auto" w:fill="auto"/>
          </w:tcPr>
          <w:p w14:paraId="7EA57CBC" w14:textId="5694422F" w:rsidR="007E55D4" w:rsidRPr="007E55D4" w:rsidRDefault="00911BCA" w:rsidP="007E55D4">
            <w:pPr>
              <w:spacing w:line="320" w:lineRule="exact"/>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4"/>
                <w:szCs w:val="24"/>
              </w:rPr>
            </w:pPr>
            <w:r>
              <w:rPr>
                <w:rFonts w:ascii="Arial" w:eastAsia="Times New Roman" w:hAnsi="Arial" w:cs="Times New Roman"/>
                <w:sz w:val="24"/>
                <w:szCs w:val="24"/>
              </w:rPr>
              <w:t>3%</w:t>
            </w:r>
          </w:p>
        </w:tc>
      </w:tr>
      <w:tr w:rsidR="007E55D4" w:rsidRPr="007E55D4" w14:paraId="6F6514F4" w14:textId="77777777" w:rsidTr="7F4DEF8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15" w:type="dxa"/>
            <w:shd w:val="clear" w:color="auto" w:fill="auto"/>
          </w:tcPr>
          <w:p w14:paraId="69875C58" w14:textId="77777777" w:rsidR="007E55D4" w:rsidRPr="007E55D4" w:rsidRDefault="007E55D4" w:rsidP="007E55D4">
            <w:pPr>
              <w:spacing w:line="320" w:lineRule="exact"/>
              <w:rPr>
                <w:rFonts w:ascii="Arial" w:eastAsia="Times New Roman" w:hAnsi="Arial" w:cs="Times New Roman"/>
                <w:sz w:val="24"/>
                <w:szCs w:val="24"/>
              </w:rPr>
            </w:pPr>
            <w:r w:rsidRPr="007E55D4">
              <w:rPr>
                <w:rFonts w:ascii="Arial" w:eastAsia="Times New Roman" w:hAnsi="Arial" w:cs="Times New Roman"/>
                <w:sz w:val="24"/>
                <w:szCs w:val="24"/>
              </w:rPr>
              <w:t>Non-Government Bodies</w:t>
            </w:r>
            <w:r w:rsidRPr="007E55D4">
              <w:rPr>
                <w:rFonts w:ascii="Arial" w:eastAsia="Times New Roman" w:hAnsi="Arial" w:cs="Times New Roman"/>
                <w:sz w:val="24"/>
                <w:szCs w:val="24"/>
                <w:vertAlign w:val="superscript"/>
              </w:rPr>
              <w:footnoteReference w:id="3"/>
            </w:r>
          </w:p>
        </w:tc>
        <w:tc>
          <w:tcPr>
            <w:tcW w:w="2130" w:type="dxa"/>
            <w:shd w:val="clear" w:color="auto" w:fill="auto"/>
          </w:tcPr>
          <w:p w14:paraId="08EE8925" w14:textId="11CF7BEF" w:rsidR="007E55D4" w:rsidRPr="007E55D4" w:rsidRDefault="00664458" w:rsidP="007E55D4">
            <w:pPr>
              <w:spacing w:line="320" w:lineRule="exact"/>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4"/>
                <w:szCs w:val="24"/>
              </w:rPr>
            </w:pPr>
            <w:r>
              <w:rPr>
                <w:rFonts w:ascii="Arial" w:eastAsia="Times New Roman" w:hAnsi="Arial" w:cs="Times New Roman"/>
                <w:sz w:val="24"/>
                <w:szCs w:val="24"/>
              </w:rPr>
              <w:t>16</w:t>
            </w:r>
          </w:p>
        </w:tc>
        <w:tc>
          <w:tcPr>
            <w:tcW w:w="2310" w:type="dxa"/>
            <w:shd w:val="clear" w:color="auto" w:fill="auto"/>
          </w:tcPr>
          <w:p w14:paraId="420FF681" w14:textId="51E083D4" w:rsidR="007E55D4" w:rsidRPr="007E55D4" w:rsidRDefault="007E55D4" w:rsidP="007E55D4">
            <w:pPr>
              <w:spacing w:line="320" w:lineRule="exact"/>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4"/>
                <w:szCs w:val="24"/>
              </w:rPr>
            </w:pPr>
            <w:r w:rsidRPr="007E55D4">
              <w:rPr>
                <w:rFonts w:ascii="Arial" w:eastAsia="Times New Roman" w:hAnsi="Arial" w:cs="Times New Roman"/>
                <w:sz w:val="24"/>
                <w:szCs w:val="24"/>
              </w:rPr>
              <w:t>£</w:t>
            </w:r>
            <w:r w:rsidR="00911BCA">
              <w:rPr>
                <w:rFonts w:ascii="Arial" w:eastAsia="Times New Roman" w:hAnsi="Arial" w:cs="Times New Roman"/>
                <w:sz w:val="24"/>
                <w:szCs w:val="24"/>
              </w:rPr>
              <w:t>75,756</w:t>
            </w:r>
          </w:p>
        </w:tc>
        <w:tc>
          <w:tcPr>
            <w:tcW w:w="1180" w:type="dxa"/>
            <w:shd w:val="clear" w:color="auto" w:fill="auto"/>
          </w:tcPr>
          <w:p w14:paraId="79709730" w14:textId="02B3D2E1" w:rsidR="007E55D4" w:rsidRPr="007E55D4" w:rsidRDefault="00911BCA" w:rsidP="007E55D4">
            <w:pPr>
              <w:spacing w:line="320" w:lineRule="exact"/>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4"/>
                <w:szCs w:val="24"/>
              </w:rPr>
            </w:pPr>
            <w:r>
              <w:rPr>
                <w:rFonts w:ascii="Arial" w:eastAsia="Times New Roman" w:hAnsi="Arial" w:cs="Times New Roman"/>
                <w:sz w:val="24"/>
                <w:szCs w:val="24"/>
              </w:rPr>
              <w:t>67%</w:t>
            </w:r>
          </w:p>
        </w:tc>
      </w:tr>
      <w:tr w:rsidR="007E55D4" w:rsidRPr="007E55D4" w14:paraId="638E1A63" w14:textId="77777777" w:rsidTr="7F4DEF86">
        <w:trPr>
          <w:trHeight w:val="250"/>
        </w:trPr>
        <w:tc>
          <w:tcPr>
            <w:cnfStyle w:val="001000000000" w:firstRow="0" w:lastRow="0" w:firstColumn="1" w:lastColumn="0" w:oddVBand="0" w:evenVBand="0" w:oddHBand="0" w:evenHBand="0" w:firstRowFirstColumn="0" w:firstRowLastColumn="0" w:lastRowFirstColumn="0" w:lastRowLastColumn="0"/>
            <w:tcW w:w="1815" w:type="dxa"/>
            <w:shd w:val="clear" w:color="auto" w:fill="auto"/>
          </w:tcPr>
          <w:p w14:paraId="13E1D30C" w14:textId="77777777" w:rsidR="007E55D4" w:rsidRPr="007E55D4" w:rsidRDefault="007E55D4" w:rsidP="007E55D4">
            <w:pPr>
              <w:spacing w:line="320" w:lineRule="exact"/>
              <w:rPr>
                <w:rFonts w:ascii="Arial" w:eastAsia="Times New Roman" w:hAnsi="Arial" w:cs="Times New Roman"/>
                <w:sz w:val="24"/>
                <w:szCs w:val="24"/>
              </w:rPr>
            </w:pPr>
            <w:r w:rsidRPr="007E55D4">
              <w:rPr>
                <w:rFonts w:ascii="Arial" w:eastAsia="Times New Roman" w:hAnsi="Arial" w:cs="Times New Roman"/>
                <w:sz w:val="24"/>
                <w:szCs w:val="24"/>
              </w:rPr>
              <w:t>Total</w:t>
            </w:r>
          </w:p>
        </w:tc>
        <w:tc>
          <w:tcPr>
            <w:tcW w:w="2130" w:type="dxa"/>
            <w:shd w:val="clear" w:color="auto" w:fill="auto"/>
          </w:tcPr>
          <w:p w14:paraId="596A3751" w14:textId="6D6FBA00" w:rsidR="007E55D4" w:rsidRPr="007E55D4" w:rsidRDefault="00664458" w:rsidP="007E55D4">
            <w:pPr>
              <w:spacing w:line="320" w:lineRule="exact"/>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bCs/>
                <w:sz w:val="24"/>
                <w:szCs w:val="24"/>
              </w:rPr>
            </w:pPr>
            <w:r>
              <w:rPr>
                <w:rFonts w:ascii="Arial" w:eastAsia="Times New Roman" w:hAnsi="Arial" w:cs="Times New Roman"/>
                <w:b/>
                <w:bCs/>
                <w:sz w:val="24"/>
                <w:szCs w:val="24"/>
              </w:rPr>
              <w:t>24</w:t>
            </w:r>
          </w:p>
        </w:tc>
        <w:tc>
          <w:tcPr>
            <w:tcW w:w="2310" w:type="dxa"/>
            <w:shd w:val="clear" w:color="auto" w:fill="auto"/>
          </w:tcPr>
          <w:p w14:paraId="5AD914F6" w14:textId="33524F12" w:rsidR="007E55D4" w:rsidRPr="007E55D4" w:rsidRDefault="007E55D4" w:rsidP="007E55D4">
            <w:pPr>
              <w:spacing w:line="320" w:lineRule="exact"/>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bCs/>
                <w:sz w:val="24"/>
                <w:szCs w:val="24"/>
              </w:rPr>
            </w:pPr>
            <w:r w:rsidRPr="007E55D4">
              <w:rPr>
                <w:rFonts w:ascii="Arial" w:eastAsia="Times New Roman" w:hAnsi="Arial" w:cs="Times New Roman"/>
                <w:b/>
                <w:bCs/>
                <w:sz w:val="24"/>
                <w:szCs w:val="24"/>
              </w:rPr>
              <w:t>£</w:t>
            </w:r>
            <w:r w:rsidR="00911BCA">
              <w:rPr>
                <w:rFonts w:ascii="Arial" w:eastAsia="Times New Roman" w:hAnsi="Arial" w:cs="Times New Roman"/>
                <w:b/>
                <w:bCs/>
                <w:sz w:val="24"/>
                <w:szCs w:val="24"/>
              </w:rPr>
              <w:t>113,676</w:t>
            </w:r>
          </w:p>
        </w:tc>
        <w:tc>
          <w:tcPr>
            <w:tcW w:w="1180" w:type="dxa"/>
            <w:shd w:val="clear" w:color="auto" w:fill="auto"/>
          </w:tcPr>
          <w:p w14:paraId="550608D8" w14:textId="77777777" w:rsidR="007E55D4" w:rsidRPr="007E55D4" w:rsidRDefault="007E55D4" w:rsidP="007E55D4">
            <w:pPr>
              <w:spacing w:line="320" w:lineRule="exact"/>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bCs/>
                <w:sz w:val="24"/>
                <w:szCs w:val="24"/>
              </w:rPr>
            </w:pPr>
            <w:r w:rsidRPr="007E55D4">
              <w:rPr>
                <w:rFonts w:ascii="Arial" w:eastAsia="Times New Roman" w:hAnsi="Arial" w:cs="Times New Roman"/>
                <w:b/>
                <w:bCs/>
                <w:sz w:val="24"/>
                <w:szCs w:val="24"/>
              </w:rPr>
              <w:t>100</w:t>
            </w:r>
          </w:p>
        </w:tc>
      </w:tr>
    </w:tbl>
    <w:p w14:paraId="740ABC4F" w14:textId="5D11CC81" w:rsidR="00DD6FDF" w:rsidRDefault="00DD6FDF" w:rsidP="002635E0">
      <w:pPr>
        <w:pStyle w:val="NumberedlistHTA"/>
        <w:numPr>
          <w:ilvl w:val="0"/>
          <w:numId w:val="0"/>
        </w:numPr>
        <w:spacing w:after="160" w:line="320" w:lineRule="exact"/>
      </w:pPr>
    </w:p>
    <w:p w14:paraId="4E29475C" w14:textId="78CB8B09" w:rsidR="00D80673" w:rsidRDefault="24406800" w:rsidP="00411D93">
      <w:pPr>
        <w:pStyle w:val="NumberedlistHTA"/>
        <w:spacing w:after="0" w:line="240" w:lineRule="auto"/>
        <w:ind w:left="425" w:hanging="425"/>
      </w:pPr>
      <w:r>
        <w:t>Of the 7 NHS establishments, 3 (£19k) relate to the 2020/21 financial y</w:t>
      </w:r>
      <w:r w:rsidR="35688B23">
        <w:t xml:space="preserve">ear, this is a significant reduction; of the 16 Non-Government Bodies, 1 (£7k) relates to 2020/21 financial year, 3 (£26k) to 2021/22 and 12 (£42k) to the </w:t>
      </w:r>
      <w:r w:rsidR="218860DE">
        <w:t>year just ended – 2022/23.</w:t>
      </w:r>
    </w:p>
    <w:p w14:paraId="23AB1440" w14:textId="77777777" w:rsidR="00411D93" w:rsidRDefault="00411D93" w:rsidP="00411D93">
      <w:pPr>
        <w:pStyle w:val="NumberedlistHTA"/>
        <w:numPr>
          <w:ilvl w:val="0"/>
          <w:numId w:val="0"/>
        </w:numPr>
        <w:spacing w:after="0" w:line="240" w:lineRule="auto"/>
        <w:ind w:left="425"/>
      </w:pPr>
    </w:p>
    <w:p w14:paraId="7F126A5C" w14:textId="07797DEF" w:rsidR="003C7E14" w:rsidRDefault="218860DE" w:rsidP="001E2CE8">
      <w:pPr>
        <w:pStyle w:val="NumberedlistHTA"/>
        <w:spacing w:after="0" w:line="320" w:lineRule="exact"/>
        <w:ind w:left="425" w:hanging="425"/>
      </w:pPr>
      <w:r>
        <w:lastRenderedPageBreak/>
        <w:t xml:space="preserve">There has been a significant push in debt collection this year and the end position </w:t>
      </w:r>
      <w:r w:rsidR="7EE74961">
        <w:t>is a positive one.</w:t>
      </w:r>
      <w:r w:rsidR="332FF0CC">
        <w:t xml:space="preserve"> </w:t>
      </w:r>
      <w:r w:rsidR="39C56A50">
        <w:t>We continue to chase those that have been outstanding since 2021/22.</w:t>
      </w:r>
    </w:p>
    <w:p w14:paraId="76E302B0" w14:textId="77777777" w:rsidR="00411D93" w:rsidRDefault="00411D93" w:rsidP="001E2CE8">
      <w:pPr>
        <w:pStyle w:val="NumberedlistHTA"/>
        <w:numPr>
          <w:ilvl w:val="0"/>
          <w:numId w:val="0"/>
        </w:numPr>
        <w:spacing w:after="0" w:line="320" w:lineRule="exact"/>
      </w:pPr>
    </w:p>
    <w:p w14:paraId="7D741DC9" w14:textId="1985DCD9" w:rsidR="00575A6F" w:rsidRPr="00BA5705" w:rsidRDefault="00575A6F" w:rsidP="001E2CE8">
      <w:pPr>
        <w:pStyle w:val="NumberedlistHTA"/>
        <w:numPr>
          <w:ilvl w:val="0"/>
          <w:numId w:val="0"/>
        </w:numPr>
        <w:spacing w:after="0" w:line="320" w:lineRule="exact"/>
        <w:ind w:left="425" w:hanging="425"/>
        <w:rPr>
          <w:b/>
          <w:bCs/>
          <w:sz w:val="28"/>
          <w:szCs w:val="28"/>
        </w:rPr>
      </w:pPr>
      <w:r w:rsidRPr="00BA5705">
        <w:rPr>
          <w:b/>
          <w:bCs/>
          <w:sz w:val="28"/>
          <w:szCs w:val="28"/>
        </w:rPr>
        <w:t xml:space="preserve">Financial </w:t>
      </w:r>
      <w:r w:rsidR="00F74B79">
        <w:rPr>
          <w:b/>
          <w:bCs/>
          <w:sz w:val="28"/>
          <w:szCs w:val="28"/>
        </w:rPr>
        <w:t>R</w:t>
      </w:r>
      <w:r w:rsidRPr="00BA5705">
        <w:rPr>
          <w:b/>
          <w:bCs/>
          <w:sz w:val="28"/>
          <w:szCs w:val="28"/>
        </w:rPr>
        <w:t xml:space="preserve">isks and </w:t>
      </w:r>
      <w:r w:rsidR="00F74B79">
        <w:rPr>
          <w:b/>
          <w:bCs/>
          <w:sz w:val="28"/>
          <w:szCs w:val="28"/>
        </w:rPr>
        <w:t>M</w:t>
      </w:r>
      <w:r w:rsidRPr="00BA5705">
        <w:rPr>
          <w:b/>
          <w:bCs/>
          <w:sz w:val="28"/>
          <w:szCs w:val="28"/>
        </w:rPr>
        <w:t xml:space="preserve">itigations </w:t>
      </w:r>
    </w:p>
    <w:p w14:paraId="66CE1FEC" w14:textId="77777777" w:rsidR="00411D93" w:rsidRPr="00276342" w:rsidRDefault="00411D93" w:rsidP="001E2CE8">
      <w:pPr>
        <w:pStyle w:val="NumberedlistHTA"/>
        <w:numPr>
          <w:ilvl w:val="0"/>
          <w:numId w:val="0"/>
        </w:numPr>
        <w:spacing w:after="0" w:line="320" w:lineRule="exact"/>
        <w:rPr>
          <w:b/>
          <w:bCs/>
        </w:rPr>
      </w:pPr>
    </w:p>
    <w:p w14:paraId="64466CF6" w14:textId="2E64D868" w:rsidR="004E4DA4" w:rsidRPr="00276342" w:rsidRDefault="0747671F" w:rsidP="001E2CE8">
      <w:pPr>
        <w:pStyle w:val="NumberedlistHTA"/>
        <w:spacing w:after="0" w:line="320" w:lineRule="exact"/>
        <w:ind w:left="425" w:hanging="425"/>
      </w:pPr>
      <w:r>
        <w:t>As at 31 March 2023, our strategic finance risk was rated ‘low</w:t>
      </w:r>
      <w:r w:rsidR="594D1299">
        <w:t>’</w:t>
      </w:r>
      <w:r w:rsidR="49C40AFD">
        <w:t xml:space="preserve"> but above tolerance. This was an accepted risk</w:t>
      </w:r>
      <w:r w:rsidR="70D026F4">
        <w:t xml:space="preserve"> with a review of this tolerance level undertaken in Q1 of 2023/24</w:t>
      </w:r>
      <w:r w:rsidR="0A1635DC">
        <w:t xml:space="preserve"> and a request for the Audit, Risk </w:t>
      </w:r>
      <w:r w:rsidR="3E07CE60">
        <w:t>&amp;</w:t>
      </w:r>
      <w:r w:rsidR="0A1635DC">
        <w:t xml:space="preserve"> Assurance Committee </w:t>
      </w:r>
      <w:r w:rsidR="4E89007F">
        <w:t xml:space="preserve">(ARAC) </w:t>
      </w:r>
      <w:r w:rsidR="0A1635DC">
        <w:t xml:space="preserve">to recommend </w:t>
      </w:r>
      <w:r w:rsidR="541562E4">
        <w:t xml:space="preserve">to the Board that </w:t>
      </w:r>
      <w:r w:rsidR="0A1635DC">
        <w:t>th</w:t>
      </w:r>
      <w:r w:rsidR="7B573C18">
        <w:t>e level to be increased</w:t>
      </w:r>
      <w:r w:rsidR="3BCB35BB">
        <w:t xml:space="preserve"> fr</w:t>
      </w:r>
      <w:r w:rsidR="541562E4">
        <w:t>om 3 to 4</w:t>
      </w:r>
      <w:r w:rsidR="03835F97">
        <w:t>.</w:t>
      </w:r>
      <w:r w:rsidR="5DFE0794">
        <w:t xml:space="preserve"> </w:t>
      </w:r>
      <w:r w:rsidR="4044F1AD">
        <w:t>This was accepted by ARAC on 8 June.</w:t>
      </w:r>
    </w:p>
    <w:p w14:paraId="03F8DB93" w14:textId="77777777" w:rsidR="7F4DEF86" w:rsidRDefault="7F4DEF86" w:rsidP="001E2CE8">
      <w:pPr>
        <w:pStyle w:val="NumberedlistHTA"/>
        <w:numPr>
          <w:ilvl w:val="0"/>
          <w:numId w:val="0"/>
        </w:numPr>
        <w:spacing w:after="0" w:line="320" w:lineRule="exact"/>
      </w:pPr>
    </w:p>
    <w:p w14:paraId="52C9AA8C" w14:textId="189AA6EC" w:rsidR="56E91828" w:rsidRDefault="007647CC" w:rsidP="001E2CE8">
      <w:pPr>
        <w:pStyle w:val="NumberedlistHTA"/>
        <w:numPr>
          <w:ilvl w:val="0"/>
          <w:numId w:val="0"/>
        </w:numPr>
        <w:spacing w:after="0" w:line="320" w:lineRule="exact"/>
        <w:rPr>
          <w:b/>
          <w:bCs/>
          <w:sz w:val="28"/>
          <w:szCs w:val="28"/>
        </w:rPr>
      </w:pPr>
      <w:r>
        <w:rPr>
          <w:b/>
          <w:bCs/>
          <w:sz w:val="28"/>
          <w:szCs w:val="28"/>
        </w:rPr>
        <w:t>Human Resources</w:t>
      </w:r>
    </w:p>
    <w:p w14:paraId="79B48220" w14:textId="77777777" w:rsidR="00DF129F" w:rsidRDefault="00DF129F" w:rsidP="001E2CE8">
      <w:pPr>
        <w:pStyle w:val="NumberedlistHTA"/>
        <w:numPr>
          <w:ilvl w:val="0"/>
          <w:numId w:val="0"/>
        </w:numPr>
        <w:spacing w:after="0" w:line="320" w:lineRule="exact"/>
        <w:rPr>
          <w:b/>
          <w:bCs/>
          <w:sz w:val="28"/>
          <w:szCs w:val="28"/>
        </w:rPr>
      </w:pPr>
    </w:p>
    <w:p w14:paraId="3C81CDAB" w14:textId="4AD17C6B" w:rsidR="138FB7D0" w:rsidRDefault="50C02F4C" w:rsidP="001E2CE8">
      <w:pPr>
        <w:pStyle w:val="NumberedlistHTA"/>
        <w:spacing w:after="0" w:line="320" w:lineRule="exact"/>
        <w:ind w:left="426" w:hanging="426"/>
        <w:rPr>
          <w:rFonts w:eastAsia="Arial"/>
          <w:color w:val="auto"/>
        </w:rPr>
      </w:pPr>
      <w:r w:rsidRPr="7F4DEF86">
        <w:rPr>
          <w:rFonts w:eastAsia="Arial"/>
          <w:color w:val="auto"/>
        </w:rPr>
        <w:t xml:space="preserve">Due </w:t>
      </w:r>
      <w:r w:rsidR="4CBEC250" w:rsidRPr="7F4DEF86">
        <w:rPr>
          <w:rFonts w:eastAsia="Arial"/>
          <w:color w:val="auto"/>
        </w:rPr>
        <w:t>d</w:t>
      </w:r>
      <w:r w:rsidR="7B4EB099" w:rsidRPr="7F4DEF86">
        <w:rPr>
          <w:rFonts w:eastAsia="Arial"/>
          <w:color w:val="auto"/>
        </w:rPr>
        <w:t>iligence</w:t>
      </w:r>
      <w:r w:rsidRPr="7F4DEF86">
        <w:rPr>
          <w:rFonts w:eastAsia="Arial"/>
          <w:color w:val="auto"/>
        </w:rPr>
        <w:t xml:space="preserve"> with CQC has continued over the past quarter in a pos</w:t>
      </w:r>
      <w:r w:rsidR="294BEDE7" w:rsidRPr="7F4DEF86">
        <w:rPr>
          <w:rFonts w:eastAsia="Arial"/>
          <w:color w:val="auto"/>
        </w:rPr>
        <w:t>itive manner. A paper has been submitted to SMT with the detail of the proposal.  Subject to final approval in early July</w:t>
      </w:r>
      <w:r w:rsidR="70BDBAF9" w:rsidRPr="7F4DEF86">
        <w:rPr>
          <w:rFonts w:eastAsia="Arial"/>
          <w:color w:val="auto"/>
        </w:rPr>
        <w:t xml:space="preserve"> from the Board of CQC</w:t>
      </w:r>
      <w:r w:rsidR="331A7647" w:rsidRPr="7F4DEF86">
        <w:rPr>
          <w:rFonts w:eastAsia="Arial"/>
          <w:color w:val="auto"/>
        </w:rPr>
        <w:t>,</w:t>
      </w:r>
      <w:r w:rsidR="70BDBAF9" w:rsidRPr="7F4DEF86">
        <w:rPr>
          <w:rFonts w:eastAsia="Arial"/>
          <w:color w:val="auto"/>
        </w:rPr>
        <w:t xml:space="preserve"> the plan is to transition services </w:t>
      </w:r>
      <w:r w:rsidR="227D99A3" w:rsidRPr="7F4DEF86">
        <w:rPr>
          <w:rFonts w:eastAsia="Arial"/>
          <w:color w:val="auto"/>
        </w:rPr>
        <w:t>from</w:t>
      </w:r>
      <w:r w:rsidR="70BDBAF9" w:rsidRPr="7F4DEF86">
        <w:rPr>
          <w:rFonts w:eastAsia="Arial"/>
          <w:color w:val="auto"/>
        </w:rPr>
        <w:t xml:space="preserve"> July starting with the recruitment process</w:t>
      </w:r>
      <w:r w:rsidR="57B74985" w:rsidRPr="7F4DEF86">
        <w:rPr>
          <w:rFonts w:eastAsia="Arial"/>
          <w:color w:val="auto"/>
        </w:rPr>
        <w:t xml:space="preserve">. CQC are developing a pack for HTA that will inform HTA Managers and employees of the new process going forward. </w:t>
      </w:r>
      <w:r w:rsidR="0FBC5DF0" w:rsidRPr="7F4DEF86">
        <w:rPr>
          <w:rFonts w:eastAsia="Arial"/>
          <w:color w:val="auto"/>
        </w:rPr>
        <w:t xml:space="preserve">A </w:t>
      </w:r>
      <w:r w:rsidR="04328E85" w:rsidRPr="7F4DEF86">
        <w:rPr>
          <w:rFonts w:eastAsia="Arial"/>
          <w:color w:val="auto"/>
        </w:rPr>
        <w:t>c</w:t>
      </w:r>
      <w:r w:rsidR="0FBC5DF0" w:rsidRPr="7F4DEF86">
        <w:rPr>
          <w:rFonts w:eastAsia="Arial"/>
          <w:color w:val="auto"/>
        </w:rPr>
        <w:t>omm</w:t>
      </w:r>
      <w:r w:rsidR="7FFC8BA2" w:rsidRPr="7F4DEF86">
        <w:rPr>
          <w:rFonts w:eastAsia="Arial"/>
          <w:color w:val="auto"/>
        </w:rPr>
        <w:t>unication</w:t>
      </w:r>
      <w:r w:rsidR="0FBC5DF0" w:rsidRPr="7F4DEF86">
        <w:rPr>
          <w:rFonts w:eastAsia="Arial"/>
          <w:color w:val="auto"/>
        </w:rPr>
        <w:t>s</w:t>
      </w:r>
      <w:r w:rsidR="57B74985" w:rsidRPr="7F4DEF86">
        <w:rPr>
          <w:rFonts w:eastAsia="Arial"/>
          <w:color w:val="auto"/>
        </w:rPr>
        <w:t xml:space="preserve"> plan will be developed for HTA staff to ensure </w:t>
      </w:r>
      <w:r w:rsidR="51288046" w:rsidRPr="7F4DEF86">
        <w:rPr>
          <w:rFonts w:eastAsia="Arial"/>
          <w:color w:val="auto"/>
        </w:rPr>
        <w:t>clarity. The current HR team will support this transition</w:t>
      </w:r>
      <w:r w:rsidR="5ED711FC" w:rsidRPr="7F4DEF86">
        <w:rPr>
          <w:rFonts w:eastAsia="Arial"/>
          <w:color w:val="auto"/>
        </w:rPr>
        <w:t xml:space="preserve"> </w:t>
      </w:r>
      <w:r w:rsidR="0A08BD89" w:rsidRPr="7F4DEF86">
        <w:rPr>
          <w:rFonts w:eastAsia="Arial"/>
          <w:color w:val="auto"/>
        </w:rPr>
        <w:t>with further</w:t>
      </w:r>
      <w:r w:rsidR="2FD1F6EB" w:rsidRPr="7F4DEF86">
        <w:rPr>
          <w:rFonts w:eastAsia="Arial"/>
          <w:color w:val="auto"/>
        </w:rPr>
        <w:t xml:space="preserve"> due diligence </w:t>
      </w:r>
      <w:r w:rsidR="259B3911" w:rsidRPr="7F4DEF86">
        <w:rPr>
          <w:rFonts w:eastAsia="Arial"/>
          <w:color w:val="auto"/>
        </w:rPr>
        <w:t>need</w:t>
      </w:r>
      <w:r w:rsidR="54F44022" w:rsidRPr="7F4DEF86">
        <w:rPr>
          <w:rFonts w:eastAsia="Arial"/>
          <w:color w:val="auto"/>
        </w:rPr>
        <w:t>ed</w:t>
      </w:r>
      <w:r w:rsidR="2FD1F6EB" w:rsidRPr="7F4DEF86">
        <w:rPr>
          <w:rFonts w:eastAsia="Arial"/>
          <w:color w:val="auto"/>
        </w:rPr>
        <w:t xml:space="preserve"> with their </w:t>
      </w:r>
      <w:r w:rsidR="2407A41D" w:rsidRPr="7F4DEF86">
        <w:rPr>
          <w:rFonts w:eastAsia="Arial"/>
          <w:color w:val="auto"/>
        </w:rPr>
        <w:t xml:space="preserve">Learning and </w:t>
      </w:r>
      <w:r w:rsidR="1E64585A" w:rsidRPr="7F4DEF86">
        <w:rPr>
          <w:rFonts w:eastAsia="Arial"/>
          <w:color w:val="auto"/>
        </w:rPr>
        <w:t>Development</w:t>
      </w:r>
      <w:r w:rsidR="2407A41D" w:rsidRPr="7F4DEF86">
        <w:rPr>
          <w:rFonts w:eastAsia="Arial"/>
          <w:color w:val="auto"/>
        </w:rPr>
        <w:t xml:space="preserve"> </w:t>
      </w:r>
      <w:r w:rsidR="2FD1F6EB" w:rsidRPr="7F4DEF86">
        <w:rPr>
          <w:rFonts w:eastAsia="Arial"/>
          <w:color w:val="auto"/>
        </w:rPr>
        <w:t xml:space="preserve">and </w:t>
      </w:r>
      <w:r w:rsidR="259B3911" w:rsidRPr="7F4DEF86">
        <w:rPr>
          <w:rFonts w:eastAsia="Arial"/>
          <w:color w:val="auto"/>
        </w:rPr>
        <w:t>Acad</w:t>
      </w:r>
      <w:r w:rsidR="45CACC10" w:rsidRPr="7F4DEF86">
        <w:rPr>
          <w:rFonts w:eastAsia="Arial"/>
          <w:color w:val="auto"/>
        </w:rPr>
        <w:t>e</w:t>
      </w:r>
      <w:r w:rsidR="259B3911" w:rsidRPr="7F4DEF86">
        <w:rPr>
          <w:rFonts w:eastAsia="Arial"/>
          <w:color w:val="auto"/>
        </w:rPr>
        <w:t>my</w:t>
      </w:r>
      <w:r w:rsidR="2FD1F6EB" w:rsidRPr="7F4DEF86">
        <w:rPr>
          <w:rFonts w:eastAsia="Arial"/>
          <w:color w:val="auto"/>
        </w:rPr>
        <w:t xml:space="preserve"> teams in Q2. </w:t>
      </w:r>
      <w:r w:rsidR="6B05A42C" w:rsidRPr="7F4DEF86">
        <w:rPr>
          <w:rFonts w:eastAsia="Arial"/>
          <w:color w:val="auto"/>
        </w:rPr>
        <w:t>There is a high</w:t>
      </w:r>
      <w:r w:rsidR="5D916277" w:rsidRPr="7F4DEF86">
        <w:rPr>
          <w:rFonts w:eastAsia="Arial"/>
          <w:color w:val="auto"/>
        </w:rPr>
        <w:t>-</w:t>
      </w:r>
      <w:r w:rsidR="6B05A42C" w:rsidRPr="7F4DEF86">
        <w:rPr>
          <w:rFonts w:eastAsia="Arial"/>
          <w:color w:val="auto"/>
        </w:rPr>
        <w:t>level plan that both organisations are working towards</w:t>
      </w:r>
      <w:r w:rsidR="10CF4A93" w:rsidRPr="7F4DEF86">
        <w:rPr>
          <w:rFonts w:eastAsia="Arial"/>
          <w:color w:val="auto"/>
        </w:rPr>
        <w:t>.</w:t>
      </w:r>
    </w:p>
    <w:p w14:paraId="3DD23A8D" w14:textId="77777777" w:rsidR="00032E30" w:rsidRDefault="00032E30" w:rsidP="001E2CE8">
      <w:pPr>
        <w:pStyle w:val="NumberedlistHTA"/>
        <w:numPr>
          <w:ilvl w:val="0"/>
          <w:numId w:val="0"/>
        </w:numPr>
        <w:spacing w:after="0" w:line="320" w:lineRule="exact"/>
        <w:ind w:left="426"/>
        <w:rPr>
          <w:rFonts w:eastAsia="Arial"/>
          <w:color w:val="auto"/>
        </w:rPr>
      </w:pPr>
    </w:p>
    <w:p w14:paraId="3CA53A5E" w14:textId="1378BC7E" w:rsidR="5E5F5DA8" w:rsidRDefault="6B05A42C" w:rsidP="001E2CE8">
      <w:pPr>
        <w:pStyle w:val="NumberedlistHTA"/>
        <w:spacing w:after="0" w:line="320" w:lineRule="exact"/>
        <w:ind w:left="426" w:hanging="426"/>
        <w:rPr>
          <w:rFonts w:eastAsia="Arial"/>
          <w:color w:val="auto"/>
        </w:rPr>
      </w:pPr>
      <w:r w:rsidRPr="7F4DEF86">
        <w:rPr>
          <w:rFonts w:eastAsia="Arial"/>
          <w:color w:val="auto"/>
        </w:rPr>
        <w:t>T</w:t>
      </w:r>
      <w:r w:rsidR="271ED3E2" w:rsidRPr="7F4DEF86">
        <w:rPr>
          <w:rFonts w:eastAsia="Arial"/>
          <w:color w:val="auto"/>
        </w:rPr>
        <w:t>h</w:t>
      </w:r>
      <w:r w:rsidRPr="7F4DEF86">
        <w:rPr>
          <w:rFonts w:eastAsia="Arial"/>
          <w:color w:val="auto"/>
        </w:rPr>
        <w:t xml:space="preserve">ere are currently 6 </w:t>
      </w:r>
      <w:r w:rsidR="11F10E8F" w:rsidRPr="7F4DEF86">
        <w:rPr>
          <w:rFonts w:eastAsia="Arial"/>
          <w:color w:val="auto"/>
        </w:rPr>
        <w:t>vacancies</w:t>
      </w:r>
      <w:r w:rsidRPr="7F4DEF86">
        <w:rPr>
          <w:rFonts w:eastAsia="Arial"/>
          <w:color w:val="auto"/>
        </w:rPr>
        <w:t xml:space="preserve"> and it should be noted that the volume of applications has increased significantly.</w:t>
      </w:r>
      <w:r w:rsidR="52283752" w:rsidRPr="7F4DEF86">
        <w:rPr>
          <w:rFonts w:eastAsia="Arial"/>
          <w:color w:val="auto"/>
        </w:rPr>
        <w:t xml:space="preserve"> The level of interest i</w:t>
      </w:r>
      <w:r w:rsidR="31EB916F" w:rsidRPr="7F4DEF86">
        <w:rPr>
          <w:rFonts w:eastAsia="Arial"/>
          <w:color w:val="auto"/>
        </w:rPr>
        <w:t>s</w:t>
      </w:r>
      <w:r w:rsidR="52283752" w:rsidRPr="7F4DEF86">
        <w:rPr>
          <w:rFonts w:eastAsia="Arial"/>
          <w:color w:val="auto"/>
        </w:rPr>
        <w:t xml:space="preserve"> encouraging, f</w:t>
      </w:r>
      <w:r w:rsidRPr="7F4DEF86">
        <w:rPr>
          <w:rFonts w:eastAsia="Arial"/>
          <w:color w:val="auto"/>
        </w:rPr>
        <w:t>or example</w:t>
      </w:r>
      <w:r w:rsidR="129763F8" w:rsidRPr="7F4DEF86">
        <w:rPr>
          <w:rFonts w:eastAsia="Arial"/>
          <w:color w:val="auto"/>
        </w:rPr>
        <w:t>,</w:t>
      </w:r>
      <w:r w:rsidRPr="7F4DEF86">
        <w:rPr>
          <w:rFonts w:eastAsia="Arial"/>
          <w:color w:val="auto"/>
        </w:rPr>
        <w:t xml:space="preserve"> the Corporate Servic</w:t>
      </w:r>
      <w:r w:rsidR="72CE3A05" w:rsidRPr="7F4DEF86">
        <w:rPr>
          <w:rFonts w:eastAsia="Arial"/>
          <w:color w:val="auto"/>
        </w:rPr>
        <w:t>es Office</w:t>
      </w:r>
      <w:r w:rsidR="1621F6D7" w:rsidRPr="7F4DEF86">
        <w:rPr>
          <w:rFonts w:eastAsia="Arial"/>
          <w:color w:val="auto"/>
        </w:rPr>
        <w:t>r</w:t>
      </w:r>
      <w:r w:rsidR="72CE3A05" w:rsidRPr="7F4DEF86">
        <w:rPr>
          <w:rFonts w:eastAsia="Arial"/>
          <w:color w:val="auto"/>
        </w:rPr>
        <w:t xml:space="preserve"> role has received </w:t>
      </w:r>
      <w:r w:rsidR="454311A7" w:rsidRPr="7F4DEF86">
        <w:rPr>
          <w:rFonts w:eastAsia="Arial"/>
          <w:color w:val="auto"/>
        </w:rPr>
        <w:t>more than</w:t>
      </w:r>
      <w:r w:rsidR="72CE3A05" w:rsidRPr="7F4DEF86">
        <w:rPr>
          <w:rFonts w:eastAsia="Arial"/>
          <w:color w:val="auto"/>
        </w:rPr>
        <w:t xml:space="preserve"> 100 application</w:t>
      </w:r>
      <w:r w:rsidR="09A655F1" w:rsidRPr="7F4DEF86">
        <w:rPr>
          <w:rFonts w:eastAsia="Arial"/>
          <w:color w:val="auto"/>
        </w:rPr>
        <w:t>s</w:t>
      </w:r>
      <w:r w:rsidR="10CF4A93" w:rsidRPr="7F4DEF86">
        <w:rPr>
          <w:rFonts w:eastAsia="Arial"/>
          <w:color w:val="auto"/>
        </w:rPr>
        <w:t>.</w:t>
      </w:r>
    </w:p>
    <w:p w14:paraId="0565BDAE" w14:textId="77777777" w:rsidR="00032E30" w:rsidRDefault="00032E30" w:rsidP="001E2CE8">
      <w:pPr>
        <w:pStyle w:val="NumberedlistHTA"/>
        <w:numPr>
          <w:ilvl w:val="0"/>
          <w:numId w:val="0"/>
        </w:numPr>
        <w:spacing w:after="0" w:line="320" w:lineRule="exact"/>
        <w:rPr>
          <w:rFonts w:eastAsia="Arial"/>
          <w:color w:val="auto"/>
        </w:rPr>
      </w:pPr>
    </w:p>
    <w:p w14:paraId="2A7785EC" w14:textId="5357E7AC" w:rsidR="7AEEA34F" w:rsidRDefault="72CE3A05" w:rsidP="001E2CE8">
      <w:pPr>
        <w:pStyle w:val="NumberedlistHTA"/>
        <w:spacing w:after="0" w:line="320" w:lineRule="exact"/>
        <w:ind w:left="426" w:hanging="426"/>
        <w:rPr>
          <w:rFonts w:eastAsia="Arial"/>
          <w:color w:val="auto"/>
        </w:rPr>
      </w:pPr>
      <w:r w:rsidRPr="7F4DEF86">
        <w:rPr>
          <w:rFonts w:eastAsia="Arial"/>
          <w:color w:val="auto"/>
        </w:rPr>
        <w:t xml:space="preserve">The last </w:t>
      </w:r>
      <w:r w:rsidR="009D7D45">
        <w:rPr>
          <w:rFonts w:eastAsia="Arial"/>
          <w:color w:val="auto"/>
        </w:rPr>
        <w:t>a</w:t>
      </w:r>
      <w:r w:rsidRPr="7F4DEF86">
        <w:rPr>
          <w:rFonts w:eastAsia="Arial"/>
          <w:color w:val="auto"/>
        </w:rPr>
        <w:t xml:space="preserve">ll </w:t>
      </w:r>
      <w:r w:rsidR="009D7D45">
        <w:rPr>
          <w:rFonts w:eastAsia="Arial"/>
          <w:color w:val="auto"/>
        </w:rPr>
        <w:t>s</w:t>
      </w:r>
      <w:r w:rsidRPr="7F4DEF86">
        <w:rPr>
          <w:rFonts w:eastAsia="Arial"/>
          <w:color w:val="auto"/>
        </w:rPr>
        <w:t xml:space="preserve">taff </w:t>
      </w:r>
      <w:r w:rsidR="009D7D45">
        <w:rPr>
          <w:rFonts w:eastAsia="Arial"/>
          <w:color w:val="auto"/>
        </w:rPr>
        <w:t>a</w:t>
      </w:r>
      <w:r w:rsidRPr="7F4DEF86">
        <w:rPr>
          <w:rFonts w:eastAsia="Arial"/>
          <w:color w:val="auto"/>
        </w:rPr>
        <w:t xml:space="preserve">way day continued </w:t>
      </w:r>
      <w:r w:rsidR="7BDB5A14" w:rsidRPr="7F4DEF86">
        <w:rPr>
          <w:rFonts w:eastAsia="Arial"/>
          <w:color w:val="auto"/>
        </w:rPr>
        <w:t>our organisational development (</w:t>
      </w:r>
      <w:r w:rsidRPr="7F4DEF86">
        <w:rPr>
          <w:rFonts w:eastAsia="Arial"/>
          <w:color w:val="auto"/>
        </w:rPr>
        <w:t>OD</w:t>
      </w:r>
      <w:r w:rsidR="7BDB5A14" w:rsidRPr="7F4DEF86">
        <w:rPr>
          <w:rFonts w:eastAsia="Arial"/>
          <w:color w:val="auto"/>
        </w:rPr>
        <w:t>)</w:t>
      </w:r>
      <w:r w:rsidRPr="7F4DEF86">
        <w:rPr>
          <w:rFonts w:eastAsia="Arial"/>
          <w:color w:val="auto"/>
        </w:rPr>
        <w:t xml:space="preserve"> work </w:t>
      </w:r>
      <w:r w:rsidR="0420CA1F" w:rsidRPr="7F4DEF86">
        <w:rPr>
          <w:rFonts w:eastAsia="Arial"/>
          <w:color w:val="auto"/>
        </w:rPr>
        <w:t>with</w:t>
      </w:r>
      <w:r w:rsidRPr="7F4DEF86">
        <w:rPr>
          <w:rFonts w:eastAsia="Arial"/>
          <w:color w:val="auto"/>
        </w:rPr>
        <w:t xml:space="preserve"> leadership values now added to the framework. This will be agreed at SMT and fed back to the employees at the next all staff away day</w:t>
      </w:r>
      <w:r w:rsidR="44695231" w:rsidRPr="7F4DEF86">
        <w:rPr>
          <w:rFonts w:eastAsia="Arial"/>
          <w:color w:val="auto"/>
        </w:rPr>
        <w:t xml:space="preserve">. </w:t>
      </w:r>
      <w:r w:rsidR="4DE2DBE4" w:rsidRPr="7F4DEF86">
        <w:rPr>
          <w:rFonts w:eastAsia="Arial"/>
          <w:color w:val="auto"/>
        </w:rPr>
        <w:t xml:space="preserve">Moving forward, our </w:t>
      </w:r>
      <w:r w:rsidR="44695231" w:rsidRPr="7F4DEF86">
        <w:rPr>
          <w:rFonts w:eastAsia="Arial"/>
          <w:color w:val="auto"/>
        </w:rPr>
        <w:t>OD work is now focus</w:t>
      </w:r>
      <w:r w:rsidR="18551F7C" w:rsidRPr="7F4DEF86">
        <w:rPr>
          <w:rFonts w:eastAsia="Arial"/>
          <w:color w:val="auto"/>
        </w:rPr>
        <w:t>ing</w:t>
      </w:r>
      <w:r w:rsidR="44695231" w:rsidRPr="7F4DEF86">
        <w:rPr>
          <w:rFonts w:eastAsia="Arial"/>
          <w:color w:val="auto"/>
        </w:rPr>
        <w:t xml:space="preserve"> on Team </w:t>
      </w:r>
      <w:r w:rsidR="08B7FB71" w:rsidRPr="7F4DEF86">
        <w:rPr>
          <w:rFonts w:eastAsia="Arial"/>
          <w:color w:val="auto"/>
        </w:rPr>
        <w:t xml:space="preserve">Effectiveness and Team </w:t>
      </w:r>
      <w:r w:rsidR="44695231" w:rsidRPr="7F4DEF86">
        <w:rPr>
          <w:rFonts w:eastAsia="Arial"/>
          <w:color w:val="auto"/>
        </w:rPr>
        <w:t>Based Working</w:t>
      </w:r>
      <w:r w:rsidR="2867B6DD" w:rsidRPr="7F4DEF86">
        <w:rPr>
          <w:rFonts w:eastAsia="Arial"/>
          <w:color w:val="auto"/>
        </w:rPr>
        <w:t>,</w:t>
      </w:r>
      <w:r w:rsidR="44695231" w:rsidRPr="7F4DEF86">
        <w:rPr>
          <w:rFonts w:eastAsia="Arial"/>
          <w:color w:val="auto"/>
        </w:rPr>
        <w:t xml:space="preserve"> </w:t>
      </w:r>
      <w:r w:rsidR="6A9B68B6" w:rsidRPr="7F4DEF86">
        <w:rPr>
          <w:rFonts w:eastAsia="Arial"/>
          <w:color w:val="auto"/>
        </w:rPr>
        <w:t>with</w:t>
      </w:r>
      <w:r w:rsidR="44695231" w:rsidRPr="7F4DEF86">
        <w:rPr>
          <w:rFonts w:eastAsia="Arial"/>
          <w:color w:val="auto"/>
        </w:rPr>
        <w:t xml:space="preserve"> some individual team work to further embed the SDI</w:t>
      </w:r>
      <w:r w:rsidR="26308FE1" w:rsidRPr="7F4DEF86">
        <w:rPr>
          <w:rFonts w:eastAsia="Arial"/>
          <w:color w:val="auto"/>
        </w:rPr>
        <w:t xml:space="preserve"> </w:t>
      </w:r>
      <w:r w:rsidR="37A9DDFA" w:rsidRPr="7F4DEF86">
        <w:rPr>
          <w:rFonts w:eastAsia="Arial"/>
          <w:color w:val="auto"/>
        </w:rPr>
        <w:t>(Strength Deployment Inventory)</w:t>
      </w:r>
      <w:r w:rsidR="44695231" w:rsidRPr="7F4DEF86">
        <w:rPr>
          <w:rFonts w:eastAsia="Arial"/>
          <w:color w:val="auto"/>
        </w:rPr>
        <w:t xml:space="preserve"> tool within the </w:t>
      </w:r>
      <w:r w:rsidR="0D50FB96" w:rsidRPr="7F4DEF86">
        <w:rPr>
          <w:rFonts w:eastAsia="Arial"/>
          <w:color w:val="auto"/>
        </w:rPr>
        <w:t>organisation</w:t>
      </w:r>
      <w:r w:rsidR="10CF4A93" w:rsidRPr="7F4DEF86">
        <w:rPr>
          <w:rFonts w:eastAsia="Arial"/>
          <w:color w:val="auto"/>
        </w:rPr>
        <w:t>.</w:t>
      </w:r>
    </w:p>
    <w:p w14:paraId="0551BF0F" w14:textId="77777777" w:rsidR="00032E30" w:rsidRDefault="00032E30" w:rsidP="001E2CE8">
      <w:pPr>
        <w:pStyle w:val="NumberedlistHTA"/>
        <w:numPr>
          <w:ilvl w:val="0"/>
          <w:numId w:val="0"/>
        </w:numPr>
        <w:spacing w:after="0" w:line="320" w:lineRule="exact"/>
        <w:rPr>
          <w:rFonts w:eastAsia="Arial"/>
          <w:color w:val="auto"/>
        </w:rPr>
      </w:pPr>
    </w:p>
    <w:p w14:paraId="70FC4FC9" w14:textId="2D401541" w:rsidR="77CE8E31" w:rsidRDefault="0D50FB96" w:rsidP="001E2CE8">
      <w:pPr>
        <w:pStyle w:val="NumberedlistHTA"/>
        <w:spacing w:after="0" w:line="320" w:lineRule="exact"/>
        <w:ind w:left="426" w:hanging="426"/>
        <w:rPr>
          <w:rFonts w:eastAsia="Arial"/>
          <w:color w:val="auto"/>
        </w:rPr>
      </w:pPr>
      <w:r w:rsidRPr="7F4DEF86">
        <w:rPr>
          <w:rFonts w:eastAsia="Arial"/>
          <w:color w:val="auto"/>
        </w:rPr>
        <w:t xml:space="preserve">The pay proposal has been agreed in principle and is now with the </w:t>
      </w:r>
      <w:r w:rsidR="7E587AC0" w:rsidRPr="7F4DEF86">
        <w:rPr>
          <w:rFonts w:eastAsia="Arial"/>
          <w:color w:val="auto"/>
        </w:rPr>
        <w:t>D</w:t>
      </w:r>
      <w:r w:rsidR="28F1B766" w:rsidRPr="7F4DEF86">
        <w:rPr>
          <w:rFonts w:eastAsia="Arial"/>
          <w:color w:val="auto"/>
        </w:rPr>
        <w:t>epartment</w:t>
      </w:r>
      <w:r w:rsidRPr="7F4DEF86">
        <w:rPr>
          <w:rFonts w:eastAsia="Arial"/>
          <w:color w:val="auto"/>
        </w:rPr>
        <w:t xml:space="preserve"> for consideration</w:t>
      </w:r>
      <w:r w:rsidR="0C1C9D3C" w:rsidRPr="7F4DEF86">
        <w:rPr>
          <w:rFonts w:eastAsia="Arial"/>
          <w:color w:val="auto"/>
        </w:rPr>
        <w:t xml:space="preserve">. This proposal addresses </w:t>
      </w:r>
      <w:r w:rsidR="3FD91B5E" w:rsidRPr="7F4DEF86">
        <w:rPr>
          <w:rFonts w:eastAsia="Arial"/>
          <w:color w:val="auto"/>
        </w:rPr>
        <w:t>several</w:t>
      </w:r>
      <w:r w:rsidR="0C1C9D3C" w:rsidRPr="7F4DEF86">
        <w:rPr>
          <w:rFonts w:eastAsia="Arial"/>
          <w:color w:val="auto"/>
        </w:rPr>
        <w:t xml:space="preserve"> historical issues that the HTA</w:t>
      </w:r>
      <w:r w:rsidR="30CAA5E4" w:rsidRPr="7F4DEF86">
        <w:rPr>
          <w:rFonts w:eastAsia="Arial"/>
          <w:color w:val="auto"/>
        </w:rPr>
        <w:t xml:space="preserve"> ha</w:t>
      </w:r>
      <w:r w:rsidR="01568DB5" w:rsidRPr="7F4DEF86">
        <w:rPr>
          <w:rFonts w:eastAsia="Arial"/>
          <w:color w:val="auto"/>
        </w:rPr>
        <w:t>s</w:t>
      </w:r>
      <w:r w:rsidR="30CAA5E4" w:rsidRPr="7F4DEF86">
        <w:rPr>
          <w:rFonts w:eastAsia="Arial"/>
          <w:color w:val="auto"/>
        </w:rPr>
        <w:t xml:space="preserve"> faced</w:t>
      </w:r>
      <w:r w:rsidR="4BCCD31A" w:rsidRPr="7F4DEF86">
        <w:rPr>
          <w:rFonts w:eastAsia="Arial"/>
          <w:color w:val="auto"/>
        </w:rPr>
        <w:t>.</w:t>
      </w:r>
      <w:r w:rsidR="30CAA5E4" w:rsidRPr="7F4DEF86">
        <w:rPr>
          <w:rFonts w:eastAsia="Arial"/>
          <w:color w:val="auto"/>
        </w:rPr>
        <w:t xml:space="preserve"> </w:t>
      </w:r>
      <w:r w:rsidR="4BCCD31A" w:rsidRPr="7F4DEF86">
        <w:rPr>
          <w:rFonts w:eastAsia="Arial"/>
          <w:color w:val="auto"/>
        </w:rPr>
        <w:t>This proposal</w:t>
      </w:r>
      <w:r w:rsidR="30CAA5E4" w:rsidRPr="7F4DEF86">
        <w:rPr>
          <w:rFonts w:eastAsia="Arial"/>
          <w:color w:val="auto"/>
        </w:rPr>
        <w:t xml:space="preserve"> should be welcome news to </w:t>
      </w:r>
      <w:r w:rsidR="0CF689C0" w:rsidRPr="7F4DEF86">
        <w:rPr>
          <w:rFonts w:eastAsia="Arial"/>
          <w:color w:val="auto"/>
        </w:rPr>
        <w:t xml:space="preserve">HTA </w:t>
      </w:r>
      <w:r w:rsidR="30CAA5E4" w:rsidRPr="7F4DEF86">
        <w:rPr>
          <w:rFonts w:eastAsia="Arial"/>
          <w:color w:val="auto"/>
        </w:rPr>
        <w:t>employees</w:t>
      </w:r>
      <w:r w:rsidR="10B25729" w:rsidRPr="7F4DEF86">
        <w:rPr>
          <w:rFonts w:eastAsia="Arial"/>
          <w:color w:val="auto"/>
        </w:rPr>
        <w:t xml:space="preserve">. </w:t>
      </w:r>
      <w:r w:rsidRPr="7F4DEF86">
        <w:rPr>
          <w:rFonts w:eastAsia="Arial"/>
          <w:color w:val="auto"/>
        </w:rPr>
        <w:t>The cost</w:t>
      </w:r>
      <w:r w:rsidR="620E20CA" w:rsidRPr="7F4DEF86">
        <w:rPr>
          <w:rFonts w:eastAsia="Arial"/>
          <w:color w:val="auto"/>
        </w:rPr>
        <w:t>-</w:t>
      </w:r>
      <w:r w:rsidRPr="7F4DEF86">
        <w:rPr>
          <w:rFonts w:eastAsia="Arial"/>
          <w:color w:val="auto"/>
        </w:rPr>
        <w:t>of</w:t>
      </w:r>
      <w:r w:rsidR="620E20CA" w:rsidRPr="7F4DEF86">
        <w:rPr>
          <w:rFonts w:eastAsia="Arial"/>
          <w:color w:val="auto"/>
        </w:rPr>
        <w:t>-</w:t>
      </w:r>
      <w:r w:rsidRPr="7F4DEF86">
        <w:rPr>
          <w:rFonts w:eastAsia="Arial"/>
          <w:color w:val="auto"/>
        </w:rPr>
        <w:t xml:space="preserve">living payment </w:t>
      </w:r>
      <w:r w:rsidR="778B092E" w:rsidRPr="7F4DEF86">
        <w:rPr>
          <w:rFonts w:eastAsia="Arial"/>
          <w:color w:val="auto"/>
        </w:rPr>
        <w:t>announced by the Government</w:t>
      </w:r>
      <w:r w:rsidR="43AE489E" w:rsidRPr="7F4DEF86">
        <w:rPr>
          <w:rFonts w:eastAsia="Arial"/>
          <w:color w:val="auto"/>
        </w:rPr>
        <w:t xml:space="preserve"> in early June</w:t>
      </w:r>
      <w:r w:rsidRPr="7F4DEF86">
        <w:rPr>
          <w:rFonts w:eastAsia="Arial"/>
          <w:color w:val="auto"/>
        </w:rPr>
        <w:t xml:space="preserve"> </w:t>
      </w:r>
      <w:r w:rsidR="551A8414" w:rsidRPr="7F4DEF86">
        <w:rPr>
          <w:rFonts w:eastAsia="Arial"/>
          <w:color w:val="auto"/>
        </w:rPr>
        <w:t>is</w:t>
      </w:r>
      <w:r w:rsidR="49C77F5A" w:rsidRPr="7F4DEF86">
        <w:rPr>
          <w:rFonts w:eastAsia="Arial"/>
          <w:color w:val="auto"/>
        </w:rPr>
        <w:t xml:space="preserve"> </w:t>
      </w:r>
      <w:r w:rsidR="1FA7A6AE" w:rsidRPr="7F4DEF86">
        <w:rPr>
          <w:rFonts w:eastAsia="Arial"/>
          <w:color w:val="auto"/>
        </w:rPr>
        <w:t xml:space="preserve">being </w:t>
      </w:r>
      <w:r w:rsidR="1FA7A6AE" w:rsidRPr="7F4DEF86">
        <w:rPr>
          <w:rFonts w:eastAsia="Arial"/>
          <w:color w:val="auto"/>
        </w:rPr>
        <w:lastRenderedPageBreak/>
        <w:t>progressed</w:t>
      </w:r>
      <w:r w:rsidR="2B3F23DF" w:rsidRPr="7F4DEF86">
        <w:rPr>
          <w:rFonts w:eastAsia="Arial"/>
          <w:color w:val="auto"/>
        </w:rPr>
        <w:t xml:space="preserve"> with a</w:t>
      </w:r>
      <w:r w:rsidRPr="7F4DEF86">
        <w:rPr>
          <w:rFonts w:eastAsia="Arial"/>
          <w:color w:val="auto"/>
        </w:rPr>
        <w:t xml:space="preserve"> collective submission for all </w:t>
      </w:r>
      <w:r w:rsidR="1F994734" w:rsidRPr="7F4DEF86">
        <w:rPr>
          <w:rFonts w:eastAsia="Arial"/>
          <w:color w:val="auto"/>
        </w:rPr>
        <w:t xml:space="preserve">DHSC </w:t>
      </w:r>
      <w:r w:rsidR="33FF10D7" w:rsidRPr="7F4DEF86">
        <w:rPr>
          <w:rFonts w:eastAsia="Arial"/>
          <w:color w:val="auto"/>
        </w:rPr>
        <w:t xml:space="preserve">ALBs </w:t>
      </w:r>
      <w:r w:rsidR="1EB70994" w:rsidRPr="7F4DEF86">
        <w:rPr>
          <w:rFonts w:eastAsia="Arial"/>
          <w:color w:val="auto"/>
        </w:rPr>
        <w:t>to</w:t>
      </w:r>
      <w:r w:rsidR="33FF10D7" w:rsidRPr="7F4DEF86">
        <w:rPr>
          <w:rFonts w:eastAsia="Arial"/>
          <w:color w:val="auto"/>
        </w:rPr>
        <w:t xml:space="preserve"> </w:t>
      </w:r>
      <w:r w:rsidR="2E7A29D3" w:rsidRPr="7F4DEF86">
        <w:rPr>
          <w:rFonts w:eastAsia="Arial"/>
          <w:color w:val="auto"/>
        </w:rPr>
        <w:t xml:space="preserve">be submitted </w:t>
      </w:r>
      <w:r w:rsidR="2662FBF6" w:rsidRPr="7F4DEF86">
        <w:rPr>
          <w:rFonts w:eastAsia="Arial"/>
          <w:color w:val="auto"/>
        </w:rPr>
        <w:t>to</w:t>
      </w:r>
      <w:r w:rsidR="2E7A29D3" w:rsidRPr="7F4DEF86">
        <w:rPr>
          <w:rFonts w:eastAsia="Arial"/>
          <w:color w:val="auto"/>
        </w:rPr>
        <w:t xml:space="preserve"> the </w:t>
      </w:r>
      <w:r w:rsidR="00DE2974">
        <w:rPr>
          <w:rFonts w:eastAsia="Arial"/>
          <w:color w:val="auto"/>
        </w:rPr>
        <w:t>M</w:t>
      </w:r>
      <w:r w:rsidR="2E7A29D3" w:rsidRPr="7F4DEF86">
        <w:rPr>
          <w:rFonts w:eastAsia="Arial"/>
          <w:color w:val="auto"/>
        </w:rPr>
        <w:t>inister</w:t>
      </w:r>
      <w:r w:rsidR="1D66DD61" w:rsidRPr="7F4DEF86">
        <w:rPr>
          <w:rFonts w:eastAsia="Arial"/>
          <w:color w:val="auto"/>
        </w:rPr>
        <w:t>.</w:t>
      </w:r>
    </w:p>
    <w:p w14:paraId="48AD004D" w14:textId="77777777" w:rsidR="00032E30" w:rsidRDefault="00032E30" w:rsidP="001E2CE8">
      <w:pPr>
        <w:pStyle w:val="NumberedlistHTA"/>
        <w:numPr>
          <w:ilvl w:val="0"/>
          <w:numId w:val="0"/>
        </w:numPr>
        <w:spacing w:after="0" w:line="320" w:lineRule="exact"/>
        <w:rPr>
          <w:rFonts w:eastAsia="Arial"/>
          <w:color w:val="auto"/>
        </w:rPr>
      </w:pPr>
    </w:p>
    <w:p w14:paraId="50562E8A" w14:textId="0B60AE63" w:rsidR="53ECB9FC" w:rsidRDefault="3DB89386" w:rsidP="001E2CE8">
      <w:pPr>
        <w:pStyle w:val="NumberedlistHTA"/>
        <w:spacing w:after="0" w:line="320" w:lineRule="exact"/>
        <w:ind w:left="426" w:hanging="426"/>
        <w:rPr>
          <w:rFonts w:eastAsia="Arial"/>
          <w:color w:val="auto"/>
        </w:rPr>
      </w:pPr>
      <w:r w:rsidRPr="7F4DEF86">
        <w:rPr>
          <w:rFonts w:eastAsia="Arial"/>
          <w:color w:val="auto"/>
        </w:rPr>
        <w:t xml:space="preserve">A pulse survey has been conducted, the results of which are broadly </w:t>
      </w:r>
      <w:r w:rsidR="3180CADC" w:rsidRPr="7F4DEF86">
        <w:rPr>
          <w:rFonts w:eastAsia="Arial"/>
          <w:color w:val="auto"/>
        </w:rPr>
        <w:t xml:space="preserve">very </w:t>
      </w:r>
      <w:r w:rsidRPr="7F4DEF86">
        <w:rPr>
          <w:rFonts w:eastAsia="Arial"/>
          <w:color w:val="auto"/>
        </w:rPr>
        <w:t xml:space="preserve">positive </w:t>
      </w:r>
      <w:r w:rsidR="285710CB" w:rsidRPr="7F4DEF86">
        <w:rPr>
          <w:rFonts w:eastAsia="Arial"/>
          <w:color w:val="auto"/>
        </w:rPr>
        <w:t xml:space="preserve">with a few factors to drill down into. These findings </w:t>
      </w:r>
      <w:r w:rsidRPr="7F4DEF86">
        <w:rPr>
          <w:rFonts w:eastAsia="Arial"/>
          <w:color w:val="auto"/>
        </w:rPr>
        <w:t>w</w:t>
      </w:r>
      <w:r w:rsidR="72F86367" w:rsidRPr="7F4DEF86">
        <w:rPr>
          <w:rFonts w:eastAsia="Arial"/>
          <w:color w:val="auto"/>
        </w:rPr>
        <w:t>ere</w:t>
      </w:r>
      <w:r w:rsidRPr="7F4DEF86">
        <w:rPr>
          <w:rFonts w:eastAsia="Arial"/>
          <w:color w:val="auto"/>
        </w:rPr>
        <w:t xml:space="preserve"> shared </w:t>
      </w:r>
      <w:r w:rsidR="48F04427" w:rsidRPr="7F4DEF86">
        <w:rPr>
          <w:rFonts w:eastAsia="Arial"/>
          <w:color w:val="auto"/>
        </w:rPr>
        <w:t xml:space="preserve">with colleagues </w:t>
      </w:r>
      <w:r w:rsidRPr="7F4DEF86">
        <w:rPr>
          <w:rFonts w:eastAsia="Arial"/>
          <w:color w:val="auto"/>
        </w:rPr>
        <w:t xml:space="preserve">at the </w:t>
      </w:r>
      <w:r w:rsidR="0023488B">
        <w:rPr>
          <w:rFonts w:eastAsia="Arial"/>
          <w:color w:val="auto"/>
        </w:rPr>
        <w:t>a</w:t>
      </w:r>
      <w:r w:rsidR="178DCB70" w:rsidRPr="7F4DEF86">
        <w:rPr>
          <w:rFonts w:eastAsia="Arial"/>
          <w:color w:val="auto"/>
        </w:rPr>
        <w:t>ll</w:t>
      </w:r>
      <w:r w:rsidR="0023488B">
        <w:rPr>
          <w:rFonts w:eastAsia="Arial"/>
          <w:color w:val="auto"/>
        </w:rPr>
        <w:t xml:space="preserve"> s</w:t>
      </w:r>
      <w:r w:rsidR="178DCB70" w:rsidRPr="7F4DEF86">
        <w:rPr>
          <w:rFonts w:eastAsia="Arial"/>
          <w:color w:val="auto"/>
        </w:rPr>
        <w:t>taff</w:t>
      </w:r>
      <w:r w:rsidRPr="7F4DEF86">
        <w:rPr>
          <w:rFonts w:eastAsia="Arial"/>
          <w:color w:val="auto"/>
        </w:rPr>
        <w:t xml:space="preserve"> </w:t>
      </w:r>
      <w:r w:rsidR="0023488B">
        <w:rPr>
          <w:rFonts w:eastAsia="Arial"/>
          <w:color w:val="auto"/>
        </w:rPr>
        <w:t>d</w:t>
      </w:r>
      <w:r w:rsidRPr="7F4DEF86">
        <w:rPr>
          <w:rFonts w:eastAsia="Arial"/>
          <w:color w:val="auto"/>
        </w:rPr>
        <w:t>ay</w:t>
      </w:r>
      <w:r w:rsidR="62B38F35" w:rsidRPr="7F4DEF86">
        <w:rPr>
          <w:rFonts w:eastAsia="Arial"/>
          <w:color w:val="auto"/>
        </w:rPr>
        <w:t xml:space="preserve"> on 15 June.</w:t>
      </w:r>
    </w:p>
    <w:p w14:paraId="5535DE9A" w14:textId="77777777" w:rsidR="00B00B24" w:rsidRDefault="00B00B24" w:rsidP="00B00B24">
      <w:pPr>
        <w:pStyle w:val="ListParagraph"/>
        <w:rPr>
          <w:rFonts w:eastAsia="Arial"/>
        </w:rPr>
      </w:pPr>
    </w:p>
    <w:p w14:paraId="73566A38" w14:textId="77777777" w:rsidR="00B00B24" w:rsidRDefault="00B00B24" w:rsidP="00B00B24">
      <w:pPr>
        <w:pStyle w:val="NumberedlistHTA"/>
        <w:numPr>
          <w:ilvl w:val="0"/>
          <w:numId w:val="0"/>
        </w:numPr>
        <w:spacing w:after="0" w:line="320" w:lineRule="exact"/>
        <w:ind w:left="426"/>
        <w:rPr>
          <w:rFonts w:eastAsia="Arial"/>
          <w:color w:val="auto"/>
        </w:rPr>
      </w:pPr>
    </w:p>
    <w:p w14:paraId="5FE368A6" w14:textId="654B779E" w:rsidR="009975AD" w:rsidRPr="00280645" w:rsidRDefault="00CD27C2" w:rsidP="001E2CE8">
      <w:pPr>
        <w:pStyle w:val="NumberedlistHTA"/>
        <w:numPr>
          <w:ilvl w:val="0"/>
          <w:numId w:val="0"/>
        </w:numPr>
        <w:spacing w:after="0" w:line="320" w:lineRule="exact"/>
        <w:ind w:left="426" w:hanging="426"/>
        <w:rPr>
          <w:b/>
          <w:bCs/>
          <w:sz w:val="28"/>
          <w:szCs w:val="28"/>
        </w:rPr>
      </w:pPr>
      <w:r w:rsidRPr="00280645">
        <w:rPr>
          <w:b/>
          <w:bCs/>
          <w:sz w:val="28"/>
          <w:szCs w:val="28"/>
        </w:rPr>
        <w:t>Di</w:t>
      </w:r>
      <w:r w:rsidR="00280645" w:rsidRPr="00280645">
        <w:rPr>
          <w:b/>
          <w:bCs/>
          <w:sz w:val="28"/>
          <w:szCs w:val="28"/>
        </w:rPr>
        <w:t>gital</w:t>
      </w:r>
      <w:r w:rsidRPr="00280645">
        <w:rPr>
          <w:b/>
          <w:bCs/>
          <w:sz w:val="28"/>
          <w:szCs w:val="28"/>
        </w:rPr>
        <w:t>, Data and Technology</w:t>
      </w:r>
    </w:p>
    <w:p w14:paraId="6D497B44" w14:textId="77777777" w:rsidR="00DF129F" w:rsidRPr="00280645" w:rsidRDefault="00DF129F" w:rsidP="001E2CE8">
      <w:pPr>
        <w:pStyle w:val="NumberedlistHTA"/>
        <w:numPr>
          <w:ilvl w:val="0"/>
          <w:numId w:val="0"/>
        </w:numPr>
        <w:spacing w:after="0" w:line="320" w:lineRule="exact"/>
        <w:ind w:left="426" w:hanging="426"/>
        <w:rPr>
          <w:b/>
          <w:bCs/>
          <w:sz w:val="28"/>
          <w:szCs w:val="28"/>
        </w:rPr>
      </w:pPr>
    </w:p>
    <w:p w14:paraId="2DB7BF1D" w14:textId="309C37ED" w:rsidR="008708BD" w:rsidRDefault="259FEE6E" w:rsidP="001E2CE8">
      <w:pPr>
        <w:pStyle w:val="NumberedlistHTA"/>
        <w:spacing w:after="0" w:line="320" w:lineRule="exact"/>
        <w:ind w:left="426" w:hanging="426"/>
      </w:pPr>
      <w:r>
        <w:t xml:space="preserve">The </w:t>
      </w:r>
      <w:r w:rsidR="0023488B">
        <w:t>D</w:t>
      </w:r>
      <w:r>
        <w:t xml:space="preserve">ata </w:t>
      </w:r>
      <w:r w:rsidR="0023488B">
        <w:t>S</w:t>
      </w:r>
      <w:r>
        <w:t xml:space="preserve">ecurity and </w:t>
      </w:r>
      <w:r w:rsidR="0023488B">
        <w:t>P</w:t>
      </w:r>
      <w:r>
        <w:t xml:space="preserve">rotection </w:t>
      </w:r>
      <w:r w:rsidR="0023488B">
        <w:t>T</w:t>
      </w:r>
      <w:r>
        <w:t>oolkit (DSPT) is an online self-assessment tool maintained by the NHS that allows organisations to measure their performance against the national data guardian’s 10 data security standards.</w:t>
      </w:r>
      <w:r w:rsidR="695DA20A">
        <w:t xml:space="preserve"> These standards are broken do</w:t>
      </w:r>
      <w:r w:rsidR="00FE70FD">
        <w:t>w</w:t>
      </w:r>
      <w:r w:rsidR="695DA20A">
        <w:t>n into</w:t>
      </w:r>
      <w:r w:rsidR="16B489EF">
        <w:t xml:space="preserve"> </w:t>
      </w:r>
      <w:r w:rsidR="695DA20A">
        <w:t xml:space="preserve">120 assertions </w:t>
      </w:r>
      <w:r w:rsidR="7DEF80F3">
        <w:t>that focus o</w:t>
      </w:r>
      <w:r w:rsidR="1CF87F70">
        <w:t xml:space="preserve">n the area </w:t>
      </w:r>
      <w:r w:rsidR="18D743B2">
        <w:t xml:space="preserve">where </w:t>
      </w:r>
      <w:r w:rsidR="7DEF80F3">
        <w:t>compliance</w:t>
      </w:r>
      <w:r w:rsidR="5BDBEF70">
        <w:t xml:space="preserve"> needs to be demonstrated</w:t>
      </w:r>
      <w:r w:rsidR="7DEF80F3">
        <w:t>.</w:t>
      </w:r>
    </w:p>
    <w:p w14:paraId="3F179929" w14:textId="77777777" w:rsidR="00A65EA5" w:rsidRDefault="00A65EA5" w:rsidP="001E2CE8">
      <w:pPr>
        <w:pStyle w:val="NumberedlistHTA"/>
        <w:numPr>
          <w:ilvl w:val="0"/>
          <w:numId w:val="0"/>
        </w:numPr>
        <w:spacing w:after="0" w:line="320" w:lineRule="exact"/>
        <w:ind w:left="426"/>
      </w:pPr>
    </w:p>
    <w:p w14:paraId="0E41E0DA" w14:textId="5CF30782" w:rsidR="008708BD" w:rsidRDefault="259FEE6E" w:rsidP="001E2CE8">
      <w:pPr>
        <w:pStyle w:val="NumberedlistHTA"/>
        <w:spacing w:after="0" w:line="320" w:lineRule="exact"/>
        <w:ind w:left="426" w:hanging="426"/>
      </w:pPr>
      <w:r>
        <w:t>The HTA is required to complete the DSPT assessment because we have access to NHS patient data and systems. We are required to provide assurance that we are practising good data security and that personal information is handled correctly.</w:t>
      </w:r>
    </w:p>
    <w:p w14:paraId="5EE648FA" w14:textId="77777777" w:rsidR="00A65EA5" w:rsidRDefault="00A65EA5" w:rsidP="001E2CE8">
      <w:pPr>
        <w:pStyle w:val="NumberedlistHTA"/>
        <w:numPr>
          <w:ilvl w:val="0"/>
          <w:numId w:val="0"/>
        </w:numPr>
        <w:spacing w:after="0" w:line="320" w:lineRule="exact"/>
      </w:pPr>
    </w:p>
    <w:p w14:paraId="7F45F70F" w14:textId="6AE06910" w:rsidR="008708BD" w:rsidRDefault="0B9B93D1" w:rsidP="001E2CE8">
      <w:pPr>
        <w:pStyle w:val="NumberedlistHTA"/>
        <w:spacing w:after="0" w:line="320" w:lineRule="exact"/>
        <w:ind w:left="426" w:hanging="426"/>
      </w:pPr>
      <w:r>
        <w:t xml:space="preserve">The DSPT is an annual assessment which has two distinct stages, the baseline assessment and the final assessment. The baseline assessment was completed on 28 February 2023 and the </w:t>
      </w:r>
      <w:r w:rsidR="3FC93C53">
        <w:t>deadline</w:t>
      </w:r>
      <w:r>
        <w:t xml:space="preserve"> fo</w:t>
      </w:r>
      <w:r w:rsidR="5794D4C5">
        <w:t xml:space="preserve">r </w:t>
      </w:r>
      <w:r w:rsidR="668D178F">
        <w:t xml:space="preserve">the </w:t>
      </w:r>
      <w:r>
        <w:t>final assessment deadline is 30 June 23.</w:t>
      </w:r>
      <w:r w:rsidR="38A6821B">
        <w:t xml:space="preserve"> The </w:t>
      </w:r>
      <w:r w:rsidR="525EDF8E" w:rsidRPr="7F4DEF86">
        <w:rPr>
          <w:color w:val="0B0C0C"/>
        </w:rPr>
        <w:t>Government Internal Audit Agency</w:t>
      </w:r>
      <w:r w:rsidR="525EDF8E">
        <w:t xml:space="preserve"> (GIAA) has conducted an independent audit </w:t>
      </w:r>
      <w:r w:rsidR="2280FB55">
        <w:t>to assess the HTA’s compliance</w:t>
      </w:r>
      <w:r w:rsidR="2280FB55" w:rsidRPr="7F4DEF86">
        <w:rPr>
          <w:rFonts w:ascii="Segoe UI" w:eastAsia="Segoe UI" w:hAnsi="Segoe UI" w:cs="Segoe UI"/>
          <w:color w:val="252423"/>
          <w:sz w:val="18"/>
          <w:szCs w:val="18"/>
        </w:rPr>
        <w:t xml:space="preserve"> </w:t>
      </w:r>
      <w:r w:rsidR="2280FB55">
        <w:t xml:space="preserve">against the </w:t>
      </w:r>
      <w:r w:rsidR="48D7A2E6">
        <w:t xml:space="preserve">DSPT and has selected </w:t>
      </w:r>
      <w:r w:rsidR="6D99B275">
        <w:t xml:space="preserve">44 </w:t>
      </w:r>
      <w:r w:rsidR="48D7A2E6">
        <w:t xml:space="preserve">assertions at random </w:t>
      </w:r>
      <w:r w:rsidR="79FDF8F5">
        <w:t>which span across all 10 standards.</w:t>
      </w:r>
    </w:p>
    <w:p w14:paraId="74F5F0D0" w14:textId="77777777" w:rsidR="00A65EA5" w:rsidRDefault="00A65EA5" w:rsidP="001E2CE8">
      <w:pPr>
        <w:pStyle w:val="NumberedlistHTA"/>
        <w:numPr>
          <w:ilvl w:val="0"/>
          <w:numId w:val="0"/>
        </w:numPr>
        <w:spacing w:after="0" w:line="320" w:lineRule="exact"/>
      </w:pPr>
    </w:p>
    <w:p w14:paraId="20F3E602" w14:textId="7A2D0253" w:rsidR="3D7AC1D8" w:rsidRDefault="5A534D03" w:rsidP="001E2CE8">
      <w:pPr>
        <w:pStyle w:val="NumberedlistHTA"/>
        <w:spacing w:after="0" w:line="320" w:lineRule="exact"/>
        <w:ind w:left="426" w:hanging="426"/>
      </w:pPr>
      <w:r>
        <w:t>The</w:t>
      </w:r>
      <w:r w:rsidR="79FDF8F5">
        <w:t xml:space="preserve"> fieldwork exercise</w:t>
      </w:r>
      <w:r w:rsidR="7B8341AC">
        <w:t xml:space="preserve"> stage</w:t>
      </w:r>
      <w:r w:rsidR="19444164">
        <w:t xml:space="preserve"> was completed on </w:t>
      </w:r>
      <w:r w:rsidR="52044FCD">
        <w:t>9 Jun</w:t>
      </w:r>
      <w:r w:rsidR="48298F34">
        <w:t>e</w:t>
      </w:r>
      <w:r w:rsidR="19444164">
        <w:t xml:space="preserve"> and the </w:t>
      </w:r>
      <w:r w:rsidR="72EFBD49">
        <w:t>a</w:t>
      </w:r>
      <w:r w:rsidR="52044FCD">
        <w:t>uditors</w:t>
      </w:r>
      <w:r w:rsidR="19444164">
        <w:t xml:space="preserve"> have provided indicative rati</w:t>
      </w:r>
      <w:r w:rsidR="478F1626">
        <w:t xml:space="preserve">ngs based on the evidence provided </w:t>
      </w:r>
      <w:r w:rsidR="6222E5FF">
        <w:t xml:space="preserve">and interviews with key policy and process owners. </w:t>
      </w:r>
      <w:r w:rsidR="6AEF4C5C">
        <w:t>The</w:t>
      </w:r>
      <w:r w:rsidR="4D613041">
        <w:t xml:space="preserve"> final report will be published on 30 Jun</w:t>
      </w:r>
      <w:r w:rsidR="5DBDCE28">
        <w:t>e</w:t>
      </w:r>
      <w:r w:rsidR="270274D0">
        <w:t>.</w:t>
      </w:r>
    </w:p>
    <w:p w14:paraId="07A22748" w14:textId="77777777" w:rsidR="00A65EA5" w:rsidRDefault="00A65EA5" w:rsidP="001E2CE8">
      <w:pPr>
        <w:pStyle w:val="NumberedlistHTA"/>
        <w:numPr>
          <w:ilvl w:val="0"/>
          <w:numId w:val="0"/>
        </w:numPr>
        <w:spacing w:after="0" w:line="320" w:lineRule="exact"/>
      </w:pPr>
    </w:p>
    <w:p w14:paraId="13EBFF82" w14:textId="63522C68" w:rsidR="7D4EBC47" w:rsidRDefault="6AAF2356" w:rsidP="001E2CE8">
      <w:pPr>
        <w:pStyle w:val="NumberedlistHTA"/>
        <w:spacing w:after="0" w:line="320" w:lineRule="exact"/>
        <w:ind w:left="426" w:hanging="426"/>
      </w:pPr>
      <w:r>
        <w:t>The HTA heavily relies on IT equ</w:t>
      </w:r>
      <w:r w:rsidR="77A3054E">
        <w:t xml:space="preserve">ipment to complete its </w:t>
      </w:r>
      <w:r w:rsidR="437D00AB">
        <w:t>day-to-day</w:t>
      </w:r>
      <w:r w:rsidR="77A3054E">
        <w:t xml:space="preserve"> tasks in all areas of the business. </w:t>
      </w:r>
      <w:r w:rsidR="77B8F940">
        <w:t>T</w:t>
      </w:r>
      <w:r w:rsidR="77A3054E">
        <w:t>he HTA commits to re</w:t>
      </w:r>
      <w:r w:rsidR="67B10D27">
        <w:t xml:space="preserve">freshing </w:t>
      </w:r>
      <w:r w:rsidR="3F94155B">
        <w:t>our</w:t>
      </w:r>
      <w:r w:rsidR="67B10D27">
        <w:t xml:space="preserve"> desktop IT equipment every 3 years. </w:t>
      </w:r>
      <w:r w:rsidR="7568134C">
        <w:t>We commenced the latest refresh in April with fur</w:t>
      </w:r>
      <w:r w:rsidR="32DB24F0">
        <w:t>t</w:t>
      </w:r>
      <w:r w:rsidR="7568134C">
        <w:t xml:space="preserve">her devices procured in June. </w:t>
      </w:r>
      <w:r w:rsidR="2ED453AA">
        <w:t>A</w:t>
      </w:r>
      <w:r w:rsidR="77DB1376">
        <w:t>ll</w:t>
      </w:r>
      <w:r w:rsidR="0632315A">
        <w:t xml:space="preserve"> our </w:t>
      </w:r>
      <w:r w:rsidR="6BEF755D">
        <w:t xml:space="preserve">latest </w:t>
      </w:r>
      <w:r w:rsidR="0632315A">
        <w:t xml:space="preserve">devices </w:t>
      </w:r>
      <w:r w:rsidR="155147C1">
        <w:t>are now</w:t>
      </w:r>
      <w:r w:rsidR="0632315A">
        <w:t xml:space="preserve"> covered under a 3-year warranty providing a cost saving on repairs. </w:t>
      </w:r>
    </w:p>
    <w:p w14:paraId="40954326" w14:textId="77777777" w:rsidR="00A65EA5" w:rsidRDefault="00A65EA5" w:rsidP="001E2CE8">
      <w:pPr>
        <w:pStyle w:val="NumberedlistHTA"/>
        <w:numPr>
          <w:ilvl w:val="0"/>
          <w:numId w:val="0"/>
        </w:numPr>
        <w:spacing w:after="0" w:line="320" w:lineRule="exact"/>
      </w:pPr>
    </w:p>
    <w:p w14:paraId="6AAC2AD6" w14:textId="44E4EF1D" w:rsidR="7D4EBC47" w:rsidRDefault="362F3142" w:rsidP="001E2CE8">
      <w:pPr>
        <w:pStyle w:val="NumberedlistHTA"/>
        <w:spacing w:after="0" w:line="320" w:lineRule="exact"/>
        <w:ind w:left="426" w:hanging="426"/>
      </w:pPr>
      <w:r>
        <w:t xml:space="preserve">We also set our standards in security </w:t>
      </w:r>
      <w:r w:rsidR="1C07F790">
        <w:t xml:space="preserve">within our Microsoft estate. A Microsoft secure score is a </w:t>
      </w:r>
      <w:r w:rsidR="5272B4C0">
        <w:t xml:space="preserve">representation of the </w:t>
      </w:r>
      <w:r w:rsidR="3341A19D">
        <w:t>organisation's</w:t>
      </w:r>
      <w:r w:rsidR="5272B4C0">
        <w:t xml:space="preserve"> security posture. Similar organisations </w:t>
      </w:r>
      <w:r w:rsidR="7D6164A7">
        <w:t xml:space="preserve">like </w:t>
      </w:r>
      <w:r w:rsidR="71E4D288">
        <w:t>HTA could typically</w:t>
      </w:r>
      <w:r w:rsidR="7D6164A7">
        <w:t xml:space="preserve"> </w:t>
      </w:r>
      <w:r w:rsidR="540FBFCD">
        <w:t>sc</w:t>
      </w:r>
      <w:r w:rsidR="0593F6D6">
        <w:t>ore</w:t>
      </w:r>
      <w:r w:rsidR="7D6164A7">
        <w:t xml:space="preserve"> between the 40-55</w:t>
      </w:r>
      <w:r w:rsidR="5F9775CB">
        <w:t>%.</w:t>
      </w:r>
      <w:r w:rsidR="7D6164A7">
        <w:t xml:space="preserve"> The HTA is </w:t>
      </w:r>
      <w:r w:rsidR="7D6164A7">
        <w:lastRenderedPageBreak/>
        <w:t>and has maintained high scores of over 90</w:t>
      </w:r>
      <w:r w:rsidR="5F9775CB">
        <w:t>%</w:t>
      </w:r>
      <w:r w:rsidR="0B3681A9">
        <w:t xml:space="preserve"> for the past</w:t>
      </w:r>
      <w:r w:rsidR="0A03D2A3">
        <w:t xml:space="preserve"> y</w:t>
      </w:r>
      <w:r w:rsidR="0B3681A9">
        <w:t>ear</w:t>
      </w:r>
      <w:r w:rsidR="414B414B">
        <w:t>.</w:t>
      </w:r>
      <w:r w:rsidR="7FA5BDA4">
        <w:t xml:space="preserve"> </w:t>
      </w:r>
      <w:r w:rsidR="67829458">
        <w:t xml:space="preserve">We are currently at 93.39% and looking at ways to improve it further. </w:t>
      </w:r>
    </w:p>
    <w:p w14:paraId="1DD1A407" w14:textId="77777777" w:rsidR="002B25F6" w:rsidRDefault="002B25F6" w:rsidP="002B25F6">
      <w:pPr>
        <w:pStyle w:val="ListParagraph"/>
      </w:pPr>
    </w:p>
    <w:p w14:paraId="21C5015A" w14:textId="77777777" w:rsidR="002B25F6" w:rsidRDefault="002B25F6" w:rsidP="002B25F6">
      <w:pPr>
        <w:pStyle w:val="NumberedlistHTA"/>
        <w:numPr>
          <w:ilvl w:val="0"/>
          <w:numId w:val="0"/>
        </w:numPr>
        <w:spacing w:after="0" w:line="320" w:lineRule="exact"/>
        <w:ind w:left="426"/>
      </w:pPr>
    </w:p>
    <w:p w14:paraId="1F5D9348" w14:textId="0BB1394A" w:rsidR="00F9218A" w:rsidRDefault="3E7AA4D4" w:rsidP="001E2CE8">
      <w:pPr>
        <w:pStyle w:val="NumberedlistHTA"/>
        <w:numPr>
          <w:ilvl w:val="0"/>
          <w:numId w:val="0"/>
        </w:numPr>
        <w:spacing w:after="0" w:line="320" w:lineRule="exact"/>
        <w:rPr>
          <w:sz w:val="28"/>
          <w:szCs w:val="28"/>
        </w:rPr>
      </w:pPr>
      <w:r w:rsidRPr="070E954E">
        <w:rPr>
          <w:b/>
          <w:bCs/>
          <w:sz w:val="28"/>
          <w:szCs w:val="28"/>
        </w:rPr>
        <w:t>Communication</w:t>
      </w:r>
      <w:r w:rsidR="12BC9E3F" w:rsidRPr="070E954E">
        <w:rPr>
          <w:b/>
          <w:bCs/>
          <w:sz w:val="28"/>
          <w:szCs w:val="28"/>
        </w:rPr>
        <w:t>s</w:t>
      </w:r>
      <w:r w:rsidR="449A063A" w:rsidRPr="72C628C3">
        <w:rPr>
          <w:b/>
          <w:bCs/>
          <w:sz w:val="28"/>
          <w:szCs w:val="28"/>
        </w:rPr>
        <w:t xml:space="preserve"> and Engagement</w:t>
      </w:r>
      <w:r w:rsidR="449A063A" w:rsidRPr="72C628C3">
        <w:rPr>
          <w:sz w:val="28"/>
          <w:szCs w:val="28"/>
        </w:rPr>
        <w:t xml:space="preserve"> </w:t>
      </w:r>
    </w:p>
    <w:p w14:paraId="0C2E37CC" w14:textId="77777777" w:rsidR="00A65EA5" w:rsidRDefault="00A65EA5" w:rsidP="001E2CE8">
      <w:pPr>
        <w:pStyle w:val="NumberedlistHTA"/>
        <w:numPr>
          <w:ilvl w:val="0"/>
          <w:numId w:val="0"/>
        </w:numPr>
        <w:spacing w:after="0" w:line="320" w:lineRule="exact"/>
        <w:rPr>
          <w:sz w:val="28"/>
          <w:szCs w:val="28"/>
        </w:rPr>
      </w:pPr>
    </w:p>
    <w:p w14:paraId="3CEA90D9" w14:textId="419AF130" w:rsidR="00152E54" w:rsidRPr="00F3338A" w:rsidRDefault="00D32FE4" w:rsidP="001E2CE8">
      <w:pPr>
        <w:pStyle w:val="NumberedlistHTA"/>
        <w:numPr>
          <w:ilvl w:val="0"/>
          <w:numId w:val="0"/>
        </w:numPr>
        <w:spacing w:after="0" w:line="320" w:lineRule="exact"/>
        <w:ind w:left="426" w:hanging="357"/>
        <w:rPr>
          <w:color w:val="2B2B2B"/>
        </w:rPr>
      </w:pPr>
      <w:r>
        <w:t xml:space="preserve">35. </w:t>
      </w:r>
      <w:r w:rsidR="00936A77">
        <w:t xml:space="preserve">In Q4 </w:t>
      </w:r>
      <w:r w:rsidR="00E63BEB">
        <w:t xml:space="preserve">we held four sector-focused forums covering Post Mortem, Anatomy, Human Application and Organ Donation and </w:t>
      </w:r>
      <w:r w:rsidR="00152E54">
        <w:t>Transplantation</w:t>
      </w:r>
      <w:r w:rsidR="00E63BEB">
        <w:t>.</w:t>
      </w:r>
      <w:r w:rsidR="007F7237">
        <w:t xml:space="preserve"> </w:t>
      </w:r>
      <w:r w:rsidR="00152E54">
        <w:t>The forums came together virtually, and feedback from attendees was positive overall. A</w:t>
      </w:r>
      <w:r w:rsidR="00152E54" w:rsidRPr="00152E54">
        <w:rPr>
          <w:color w:val="2B2B2B"/>
        </w:rPr>
        <w:t xml:space="preserve"> common thread was the importance of collaboration and engagement with the sectors we regulate.</w:t>
      </w:r>
      <w:r w:rsidR="007F7237">
        <w:rPr>
          <w:color w:val="2B2B2B"/>
        </w:rPr>
        <w:t xml:space="preserve"> A summary of </w:t>
      </w:r>
      <w:r w:rsidR="50B41320" w:rsidRPr="645C3842">
        <w:rPr>
          <w:color w:val="2B2B2B"/>
        </w:rPr>
        <w:t>the</w:t>
      </w:r>
      <w:r w:rsidR="007F7237">
        <w:rPr>
          <w:color w:val="2B2B2B"/>
        </w:rPr>
        <w:t xml:space="preserve"> forums was published as a blog on the HTA website.  The team are planning forums across all sectors for </w:t>
      </w:r>
      <w:r w:rsidR="035123FC" w:rsidRPr="2DAF0D35">
        <w:rPr>
          <w:color w:val="2B2B2B"/>
        </w:rPr>
        <w:t>Q3</w:t>
      </w:r>
      <w:r w:rsidR="4FDA4CCC" w:rsidRPr="2DAF0D35">
        <w:rPr>
          <w:color w:val="2B2B2B"/>
        </w:rPr>
        <w:t xml:space="preserve"> of 23/24</w:t>
      </w:r>
      <w:r w:rsidR="39C0D212" w:rsidRPr="2DAF0D35">
        <w:rPr>
          <w:color w:val="2B2B2B"/>
        </w:rPr>
        <w:t>.</w:t>
      </w:r>
    </w:p>
    <w:p w14:paraId="421F7221" w14:textId="77777777" w:rsidR="005E7980" w:rsidRPr="00F3338A" w:rsidRDefault="005E7980" w:rsidP="001E2CE8">
      <w:pPr>
        <w:pStyle w:val="NumberedlistHTA"/>
        <w:numPr>
          <w:ilvl w:val="0"/>
          <w:numId w:val="0"/>
        </w:numPr>
        <w:spacing w:after="0" w:line="320" w:lineRule="exact"/>
        <w:ind w:left="426" w:hanging="357"/>
        <w:rPr>
          <w:color w:val="2B2B2B"/>
        </w:rPr>
      </w:pPr>
    </w:p>
    <w:p w14:paraId="2ADCDDC2" w14:textId="705E75C6" w:rsidR="00310F9E" w:rsidRDefault="7232AA94" w:rsidP="001E2CE8">
      <w:pPr>
        <w:pStyle w:val="NumberedlistHTA"/>
        <w:spacing w:after="0" w:line="320" w:lineRule="exact"/>
        <w:ind w:left="426" w:hanging="426"/>
      </w:pPr>
      <w:r>
        <w:t>In March 2023</w:t>
      </w:r>
      <w:r w:rsidR="391A8F1E">
        <w:t>,</w:t>
      </w:r>
      <w:r w:rsidR="7298A1C3">
        <w:t xml:space="preserve"> </w:t>
      </w:r>
      <w:r w:rsidR="61A03148">
        <w:t>several</w:t>
      </w:r>
      <w:r w:rsidR="7C360E3E">
        <w:t xml:space="preserve"> colleagues </w:t>
      </w:r>
      <w:r>
        <w:t xml:space="preserve">attended the NHSBT/BTS congress in Edinburgh and for the first time </w:t>
      </w:r>
      <w:r w:rsidR="7C360E3E">
        <w:t xml:space="preserve">HTA </w:t>
      </w:r>
      <w:r>
        <w:t xml:space="preserve">had a modest stand. Footfall and engagement with colleagues on the stand was </w:t>
      </w:r>
      <w:r w:rsidR="0657862E">
        <w:t>“</w:t>
      </w:r>
      <w:r>
        <w:t>steady</w:t>
      </w:r>
      <w:r w:rsidR="00032AFB">
        <w:t>”</w:t>
      </w:r>
      <w:r>
        <w:t xml:space="preserve"> and provided an opportunity to engage with a range of stakeholders. </w:t>
      </w:r>
    </w:p>
    <w:p w14:paraId="4682C1F6" w14:textId="77777777" w:rsidR="005E7980" w:rsidRDefault="005E7980" w:rsidP="001E2CE8">
      <w:pPr>
        <w:pStyle w:val="NumberedlistHTA"/>
        <w:numPr>
          <w:ilvl w:val="0"/>
          <w:numId w:val="0"/>
        </w:numPr>
        <w:spacing w:after="0" w:line="320" w:lineRule="exact"/>
        <w:ind w:left="4046" w:hanging="360"/>
      </w:pPr>
    </w:p>
    <w:p w14:paraId="1159CC2A" w14:textId="2A5E4262" w:rsidR="00310F9E" w:rsidRDefault="31D0A828" w:rsidP="001E2CE8">
      <w:pPr>
        <w:pStyle w:val="NumberedlistHTA"/>
        <w:spacing w:after="0" w:line="320" w:lineRule="exact"/>
        <w:ind w:left="426" w:hanging="426"/>
      </w:pPr>
      <w:r>
        <w:t>In Q4 the website was independently audited by GDS for accessibility.</w:t>
      </w:r>
      <w:r w:rsidR="5D8B590F">
        <w:t xml:space="preserve"> </w:t>
      </w:r>
      <w:r w:rsidR="2FCD2AEB">
        <w:t xml:space="preserve">The report highlighted template issues, which impact all pages of the website and issues with PDFs on the site. The template issues have been addressed and the team is working with colleagues to look at how to </w:t>
      </w:r>
      <w:r w:rsidR="43BA9A90">
        <w:t xml:space="preserve">make more </w:t>
      </w:r>
      <w:r w:rsidR="18A51664">
        <w:t>PDF</w:t>
      </w:r>
      <w:r w:rsidR="67304D88">
        <w:t xml:space="preserve">s accessible. </w:t>
      </w:r>
      <w:r w:rsidR="26ACA355">
        <w:t>Within the collection of PDF documents, t</w:t>
      </w:r>
      <w:r w:rsidR="67304D88">
        <w:t xml:space="preserve">he initial focus is on inspection reports which </w:t>
      </w:r>
      <w:r w:rsidR="539B9EA0">
        <w:t>are documents that com</w:t>
      </w:r>
      <w:r w:rsidR="213412D6">
        <w:t>man</w:t>
      </w:r>
      <w:r w:rsidR="539B9EA0">
        <w:t xml:space="preserve">d </w:t>
      </w:r>
      <w:r w:rsidR="23C4CCA5">
        <w:t xml:space="preserve">the </w:t>
      </w:r>
      <w:r w:rsidR="539B9EA0">
        <w:t xml:space="preserve">interest </w:t>
      </w:r>
      <w:r w:rsidR="36606ACD">
        <w:t>of both licence-</w:t>
      </w:r>
      <w:r w:rsidR="3AD59970">
        <w:t xml:space="preserve">holders and the wider public. </w:t>
      </w:r>
    </w:p>
    <w:p w14:paraId="6CE35633" w14:textId="77777777" w:rsidR="00A91581" w:rsidRDefault="00A91581" w:rsidP="001E2CE8">
      <w:pPr>
        <w:pStyle w:val="NumberedlistHTA"/>
        <w:numPr>
          <w:ilvl w:val="0"/>
          <w:numId w:val="0"/>
        </w:numPr>
        <w:spacing w:after="0" w:line="320" w:lineRule="exact"/>
      </w:pPr>
    </w:p>
    <w:p w14:paraId="4FFC8A71" w14:textId="6C43A4FD" w:rsidR="00C60475" w:rsidRPr="00501C30" w:rsidRDefault="6CE5B16E" w:rsidP="001E2CE8">
      <w:pPr>
        <w:pStyle w:val="NumberedlistHTA"/>
        <w:spacing w:after="0" w:line="320" w:lineRule="exact"/>
        <w:ind w:left="426" w:hanging="426"/>
        <w:rPr>
          <w:b/>
          <w:bCs/>
          <w:sz w:val="28"/>
          <w:szCs w:val="28"/>
        </w:rPr>
      </w:pPr>
      <w:r>
        <w:t>Communications ha</w:t>
      </w:r>
      <w:r w:rsidR="118D11BD">
        <w:t>ve</w:t>
      </w:r>
      <w:r>
        <w:t xml:space="preserve"> </w:t>
      </w:r>
      <w:r w:rsidR="6EEA1240">
        <w:t>supported</w:t>
      </w:r>
      <w:r>
        <w:t xml:space="preserve"> the delivery of core business, issuing </w:t>
      </w:r>
      <w:r w:rsidR="7529816F">
        <w:t>one Regulatory Alert and f</w:t>
      </w:r>
      <w:r w:rsidR="5AA5E64D">
        <w:t>ive</w:t>
      </w:r>
      <w:r w:rsidR="7529816F">
        <w:t xml:space="preserve"> Regulatory Updates in 2023 so far</w:t>
      </w:r>
      <w:r w:rsidR="3ACFEE2D">
        <w:t>. In addition</w:t>
      </w:r>
      <w:r w:rsidR="6EEA1240">
        <w:t>,</w:t>
      </w:r>
      <w:r w:rsidR="3ACFEE2D">
        <w:t xml:space="preserve"> we have published the HTA business plan for 2023</w:t>
      </w:r>
      <w:r w:rsidR="3D156C4F">
        <w:t>/</w:t>
      </w:r>
      <w:r w:rsidR="536F8F99">
        <w:t>24</w:t>
      </w:r>
      <w:r w:rsidR="3ACFEE2D">
        <w:t xml:space="preserve"> and the revised Code F </w:t>
      </w:r>
      <w:r w:rsidR="3ABE8D85">
        <w:t xml:space="preserve">part one, </w:t>
      </w:r>
      <w:r w:rsidR="4B29A54B">
        <w:t>following the introduction of deemed consent in Northern Ireland</w:t>
      </w:r>
      <w:r w:rsidR="6278398C">
        <w:t>.</w:t>
      </w:r>
    </w:p>
    <w:p w14:paraId="3AD44C34" w14:textId="77777777" w:rsidR="00A91581" w:rsidRPr="00501C30" w:rsidRDefault="00A91581" w:rsidP="001E2CE8">
      <w:pPr>
        <w:pStyle w:val="NumberedlistHTA"/>
        <w:numPr>
          <w:ilvl w:val="0"/>
          <w:numId w:val="0"/>
        </w:numPr>
        <w:spacing w:after="0" w:line="320" w:lineRule="exact"/>
        <w:rPr>
          <w:b/>
          <w:bCs/>
          <w:sz w:val="28"/>
          <w:szCs w:val="28"/>
        </w:rPr>
      </w:pPr>
    </w:p>
    <w:p w14:paraId="26D6D864" w14:textId="0C302265" w:rsidR="00310F9E" w:rsidRPr="002B1C60" w:rsidRDefault="00310F9E" w:rsidP="001E2CE8">
      <w:pPr>
        <w:pStyle w:val="NumberedlistHTA"/>
        <w:numPr>
          <w:ilvl w:val="0"/>
          <w:numId w:val="0"/>
        </w:numPr>
        <w:spacing w:after="0" w:line="320" w:lineRule="exact"/>
        <w:rPr>
          <w:b/>
          <w:bCs/>
          <w:sz w:val="28"/>
          <w:szCs w:val="28"/>
        </w:rPr>
      </w:pPr>
      <w:r w:rsidRPr="3BDC9ABD">
        <w:rPr>
          <w:b/>
          <w:bCs/>
          <w:sz w:val="28"/>
          <w:szCs w:val="28"/>
        </w:rPr>
        <w:t xml:space="preserve">Governance </w:t>
      </w:r>
    </w:p>
    <w:p w14:paraId="2899843C" w14:textId="77777777" w:rsidR="00A91581" w:rsidRPr="002B1C60" w:rsidRDefault="00A91581" w:rsidP="001E2CE8">
      <w:pPr>
        <w:pStyle w:val="NumberedlistHTA"/>
        <w:numPr>
          <w:ilvl w:val="0"/>
          <w:numId w:val="0"/>
        </w:numPr>
        <w:spacing w:after="0" w:line="320" w:lineRule="exact"/>
        <w:rPr>
          <w:b/>
          <w:bCs/>
          <w:sz w:val="28"/>
          <w:szCs w:val="28"/>
        </w:rPr>
      </w:pPr>
    </w:p>
    <w:p w14:paraId="40AF2897" w14:textId="3C6E684C" w:rsidR="00310F9E" w:rsidRDefault="75511052" w:rsidP="001E2CE8">
      <w:pPr>
        <w:pStyle w:val="NumberedlistHTA"/>
        <w:spacing w:after="0" w:line="320" w:lineRule="exact"/>
        <w:ind w:left="426" w:hanging="426"/>
      </w:pPr>
      <w:r>
        <w:t xml:space="preserve">The Risk Summary document </w:t>
      </w:r>
      <w:r w:rsidR="2D54CC06">
        <w:t>can be</w:t>
      </w:r>
      <w:r>
        <w:t xml:space="preserve"> </w:t>
      </w:r>
      <w:r w:rsidR="3CB3080C">
        <w:t xml:space="preserve">found </w:t>
      </w:r>
      <w:r>
        <w:t xml:space="preserve">at </w:t>
      </w:r>
      <w:r w:rsidRPr="7F4DEF86">
        <w:rPr>
          <w:b/>
          <w:bCs/>
        </w:rPr>
        <w:t xml:space="preserve">Annex </w:t>
      </w:r>
      <w:r w:rsidR="55F6E49F" w:rsidRPr="7F4DEF86">
        <w:rPr>
          <w:b/>
          <w:bCs/>
        </w:rPr>
        <w:t>C</w:t>
      </w:r>
      <w:r w:rsidR="39D52E2B" w:rsidRPr="7F4DEF86">
        <w:rPr>
          <w:b/>
          <w:bCs/>
        </w:rPr>
        <w:t xml:space="preserve"> </w:t>
      </w:r>
      <w:r>
        <w:t>to this paper.</w:t>
      </w:r>
      <w:r w:rsidR="54F67462">
        <w:t xml:space="preserve"> This was reviewed by </w:t>
      </w:r>
      <w:r w:rsidR="0082B4B7">
        <w:t>SMT</w:t>
      </w:r>
      <w:r w:rsidR="6EB93E1D">
        <w:t xml:space="preserve"> </w:t>
      </w:r>
      <w:r w:rsidR="1B908819">
        <w:t>on 23 May 2023</w:t>
      </w:r>
      <w:r w:rsidR="00327519">
        <w:t xml:space="preserve"> and Audit and Risk Committee </w:t>
      </w:r>
      <w:r w:rsidR="773549E4">
        <w:t>on 9 June 2023</w:t>
      </w:r>
      <w:r w:rsidR="1B908819">
        <w:t>.</w:t>
      </w:r>
    </w:p>
    <w:p w14:paraId="04DF9455" w14:textId="77777777" w:rsidR="000F05CF" w:rsidRDefault="000F05CF" w:rsidP="001E2CE8">
      <w:pPr>
        <w:pStyle w:val="NumberedlistHTA"/>
        <w:numPr>
          <w:ilvl w:val="0"/>
          <w:numId w:val="0"/>
        </w:numPr>
        <w:spacing w:after="0" w:line="320" w:lineRule="exact"/>
        <w:ind w:left="426"/>
      </w:pPr>
    </w:p>
    <w:p w14:paraId="7BF85068" w14:textId="6844826B" w:rsidR="00310F9E" w:rsidRDefault="26F488C6" w:rsidP="001E2CE8">
      <w:pPr>
        <w:pStyle w:val="NumberedlistHTA"/>
        <w:spacing w:after="0" w:line="320" w:lineRule="exact"/>
        <w:ind w:left="426" w:hanging="426"/>
      </w:pPr>
      <w:r>
        <w:t>During Q</w:t>
      </w:r>
      <w:r w:rsidR="5EFDEEEA">
        <w:t>4</w:t>
      </w:r>
      <w:r>
        <w:t xml:space="preserve">, the HTA received </w:t>
      </w:r>
      <w:r w:rsidR="5C4CB322">
        <w:t>7</w:t>
      </w:r>
      <w:r>
        <w:t xml:space="preserve"> Freedom of Information (FOI) requests. </w:t>
      </w:r>
      <w:r w:rsidR="510C55EB">
        <w:t>All</w:t>
      </w:r>
      <w:r w:rsidR="14156E87">
        <w:t xml:space="preserve"> except 1 of the</w:t>
      </w:r>
      <w:r w:rsidR="510C55EB">
        <w:t xml:space="preserve"> FOI requests received were dealt with in line with </w:t>
      </w:r>
      <w:r w:rsidR="1E600285">
        <w:t>the</w:t>
      </w:r>
      <w:r w:rsidR="510C55EB">
        <w:t xml:space="preserve"> statutory </w:t>
      </w:r>
      <w:r w:rsidR="51A346A7">
        <w:t>timeframe.</w:t>
      </w:r>
      <w:r w:rsidR="510C55EB">
        <w:t xml:space="preserve"> </w:t>
      </w:r>
      <w:r w:rsidR="7C7ABA22">
        <w:t>In Q</w:t>
      </w:r>
      <w:r w:rsidR="73FEBA39">
        <w:t>4</w:t>
      </w:r>
      <w:r w:rsidR="49F31C21">
        <w:t xml:space="preserve">, </w:t>
      </w:r>
      <w:r w:rsidR="77B7722A">
        <w:t>1</w:t>
      </w:r>
      <w:r w:rsidR="3E11AFB5">
        <w:t xml:space="preserve"> </w:t>
      </w:r>
      <w:r w:rsidR="7C8A803D">
        <w:t>complaint</w:t>
      </w:r>
      <w:r w:rsidR="054CF926">
        <w:t xml:space="preserve"> </w:t>
      </w:r>
      <w:r w:rsidR="77B7722A">
        <w:t xml:space="preserve">was </w:t>
      </w:r>
      <w:r w:rsidR="49F31C21">
        <w:t xml:space="preserve">received by the HTA. </w:t>
      </w:r>
    </w:p>
    <w:p w14:paraId="084BE9CE" w14:textId="77777777" w:rsidR="000F05CF" w:rsidRDefault="000F05CF" w:rsidP="001E2CE8">
      <w:pPr>
        <w:pStyle w:val="NumberedlistHTA"/>
        <w:numPr>
          <w:ilvl w:val="0"/>
          <w:numId w:val="0"/>
        </w:numPr>
        <w:spacing w:after="0" w:line="320" w:lineRule="exact"/>
      </w:pPr>
    </w:p>
    <w:p w14:paraId="514A37CF" w14:textId="77777777" w:rsidR="00EF44B4" w:rsidRDefault="4A307CDD" w:rsidP="001E2CE8">
      <w:pPr>
        <w:pStyle w:val="NumberedlistHTA"/>
        <w:spacing w:after="0" w:line="320" w:lineRule="exact"/>
        <w:ind w:left="426" w:hanging="426"/>
      </w:pPr>
      <w:r>
        <w:lastRenderedPageBreak/>
        <w:t xml:space="preserve">The Portfolio SMT process and monthly review meeting has continued, with detailed scrutiny of our performance and reprioritisation of our activities within our available resources. As this process matures, we are continually refining our approach and are now particularly looking to increase our maturity in project management through a standardised lifecycle, best practice tools and dedicated subject-specific training sessions. </w:t>
      </w:r>
    </w:p>
    <w:p w14:paraId="4E3000BE" w14:textId="77777777" w:rsidR="000F05CF" w:rsidRDefault="000F05CF" w:rsidP="001E2CE8">
      <w:pPr>
        <w:pStyle w:val="NumberedlistHTA"/>
        <w:numPr>
          <w:ilvl w:val="0"/>
          <w:numId w:val="0"/>
        </w:numPr>
        <w:spacing w:after="0" w:line="320" w:lineRule="exact"/>
      </w:pPr>
    </w:p>
    <w:p w14:paraId="2DE53EDE" w14:textId="68230CB4" w:rsidR="00EF44B4" w:rsidRDefault="4A307CDD" w:rsidP="001E2CE8">
      <w:pPr>
        <w:pStyle w:val="NumberedlistHTA"/>
        <w:spacing w:after="0" w:line="320" w:lineRule="exact"/>
        <w:ind w:left="426" w:hanging="426"/>
      </w:pPr>
      <w:r>
        <w:t xml:space="preserve">As previously indicated, the format of </w:t>
      </w:r>
      <w:r w:rsidRPr="7F4DEF86">
        <w:rPr>
          <w:b/>
          <w:bCs/>
        </w:rPr>
        <w:t xml:space="preserve">Annex A and B </w:t>
      </w:r>
      <w:r>
        <w:t xml:space="preserve">to this paper have been revised to provide the Board with a wider subset of the data that informs the monthly Portfolio SMT process. The format for 23/24 includes analysis of all KPIs across our various business areas and covers progress updates against each of our agreed projects for the year. </w:t>
      </w:r>
      <w:r w:rsidRPr="7F4DEF86">
        <w:rPr>
          <w:b/>
          <w:bCs/>
        </w:rPr>
        <w:t>Annex A</w:t>
      </w:r>
      <w:r>
        <w:t xml:space="preserve"> to this report covers the 22/23 year</w:t>
      </w:r>
      <w:r w:rsidR="7D6F2053">
        <w:t>-</w:t>
      </w:r>
      <w:r>
        <w:t xml:space="preserve">end position and </w:t>
      </w:r>
      <w:r w:rsidRPr="7F4DEF86">
        <w:rPr>
          <w:b/>
          <w:bCs/>
        </w:rPr>
        <w:t>Annex B</w:t>
      </w:r>
      <w:r>
        <w:t xml:space="preserve"> covers the latest</w:t>
      </w:r>
      <w:r w:rsidR="06FA4AFB">
        <w:t>, early</w:t>
      </w:r>
      <w:r>
        <w:t xml:space="preserve"> 23/24 datasets. </w:t>
      </w:r>
    </w:p>
    <w:p w14:paraId="1768316A" w14:textId="6FA8DCA1" w:rsidR="2DAF0D35" w:rsidRDefault="2DAF0D35" w:rsidP="001E2CE8">
      <w:pPr>
        <w:pStyle w:val="NumberedlistHTA"/>
        <w:numPr>
          <w:ilvl w:val="0"/>
          <w:numId w:val="0"/>
        </w:numPr>
        <w:spacing w:after="0" w:line="320" w:lineRule="exact"/>
        <w:ind w:left="3326"/>
      </w:pPr>
    </w:p>
    <w:p w14:paraId="12C1AE9D" w14:textId="6ED8D3BA" w:rsidR="003D3876" w:rsidRPr="002B1C60" w:rsidRDefault="003D3876" w:rsidP="001E2CE8">
      <w:pPr>
        <w:pStyle w:val="NumberedlistHTA"/>
        <w:numPr>
          <w:ilvl w:val="0"/>
          <w:numId w:val="0"/>
        </w:numPr>
        <w:spacing w:after="0" w:line="320" w:lineRule="exact"/>
        <w:rPr>
          <w:b/>
          <w:bCs/>
          <w:sz w:val="28"/>
          <w:szCs w:val="28"/>
        </w:rPr>
      </w:pPr>
      <w:r>
        <w:rPr>
          <w:b/>
          <w:bCs/>
          <w:sz w:val="28"/>
          <w:szCs w:val="28"/>
        </w:rPr>
        <w:t>Current performance position</w:t>
      </w:r>
      <w:r w:rsidR="5DB7EF2B" w:rsidRPr="2DAF0D35">
        <w:rPr>
          <w:b/>
          <w:bCs/>
          <w:sz w:val="28"/>
          <w:szCs w:val="28"/>
        </w:rPr>
        <w:t xml:space="preserve"> for 2023/24</w:t>
      </w:r>
    </w:p>
    <w:p w14:paraId="7FDE4770" w14:textId="77777777" w:rsidR="000F05CF" w:rsidRPr="002B1C60" w:rsidRDefault="000F05CF" w:rsidP="001E2CE8">
      <w:pPr>
        <w:pStyle w:val="NumberedlistHTA"/>
        <w:numPr>
          <w:ilvl w:val="0"/>
          <w:numId w:val="0"/>
        </w:numPr>
        <w:spacing w:after="0" w:line="320" w:lineRule="exact"/>
        <w:rPr>
          <w:b/>
          <w:bCs/>
          <w:sz w:val="28"/>
          <w:szCs w:val="28"/>
        </w:rPr>
      </w:pPr>
    </w:p>
    <w:p w14:paraId="62B5B31B" w14:textId="025BD023" w:rsidR="006709AB" w:rsidRDefault="41662011" w:rsidP="001E2CE8">
      <w:pPr>
        <w:pStyle w:val="NumberedlistHTA"/>
        <w:spacing w:after="0" w:line="320" w:lineRule="exact"/>
        <w:ind w:left="426" w:hanging="426"/>
      </w:pPr>
      <w:r w:rsidRPr="7F4DEF86">
        <w:rPr>
          <w:b/>
          <w:bCs/>
        </w:rPr>
        <w:t>Annex B</w:t>
      </w:r>
      <w:r>
        <w:t xml:space="preserve"> reports data from month 1 (April) of 2023/24, whilst acknowledging it is still early in the year. The Board will note that there are changes in both the content and style of presentation of KPIs, which now cover all areas of the business. </w:t>
      </w:r>
    </w:p>
    <w:p w14:paraId="780FF576" w14:textId="77777777" w:rsidR="00E609DB" w:rsidRDefault="00E609DB" w:rsidP="001E2CE8">
      <w:pPr>
        <w:pStyle w:val="NumberedlistHTA"/>
        <w:numPr>
          <w:ilvl w:val="0"/>
          <w:numId w:val="0"/>
        </w:numPr>
        <w:spacing w:after="0" w:line="320" w:lineRule="exact"/>
        <w:ind w:left="4046" w:hanging="360"/>
      </w:pPr>
    </w:p>
    <w:p w14:paraId="722154AC" w14:textId="6355E849" w:rsidR="00F6764D" w:rsidRPr="00313E94" w:rsidRDefault="00F6764D" w:rsidP="001E2CE8">
      <w:pPr>
        <w:pStyle w:val="NumberedlistHTA"/>
        <w:numPr>
          <w:ilvl w:val="0"/>
          <w:numId w:val="0"/>
        </w:numPr>
        <w:spacing w:after="0" w:line="320" w:lineRule="exact"/>
        <w:ind w:left="426" w:hanging="426"/>
        <w:rPr>
          <w:u w:val="single"/>
        </w:rPr>
      </w:pPr>
      <w:r w:rsidRPr="00313E94">
        <w:rPr>
          <w:u w:val="single"/>
        </w:rPr>
        <w:t>Regulation</w:t>
      </w:r>
    </w:p>
    <w:p w14:paraId="594CE315" w14:textId="77777777" w:rsidR="00E609DB" w:rsidRPr="00313E94" w:rsidRDefault="00E609DB" w:rsidP="001E2CE8">
      <w:pPr>
        <w:pStyle w:val="NumberedlistHTA"/>
        <w:numPr>
          <w:ilvl w:val="0"/>
          <w:numId w:val="0"/>
        </w:numPr>
        <w:spacing w:after="0" w:line="320" w:lineRule="exact"/>
        <w:ind w:left="426" w:hanging="426"/>
        <w:rPr>
          <w:u w:val="single"/>
        </w:rPr>
      </w:pPr>
    </w:p>
    <w:p w14:paraId="4C20ABFB" w14:textId="0C473356" w:rsidR="00FF1012" w:rsidRDefault="74BB3BD8" w:rsidP="001E2CE8">
      <w:pPr>
        <w:pStyle w:val="NumberedlistHTA"/>
        <w:spacing w:after="0" w:line="320" w:lineRule="exact"/>
        <w:ind w:left="426" w:hanging="426"/>
      </w:pPr>
      <w:r>
        <w:t>For month 1 of 2023/24, one out of the four KPIs for Regulatory Delivery is off track, with the median age of open Corrective and Preventive Action (CAPA) Plans relating to major shortfalls being at 98 days, against a target of 90 days. We know which cases are leading to this excess and are satisfied that effective action is being taken on some of our most complex</w:t>
      </w:r>
      <w:r w:rsidR="7BB31AD0">
        <w:t>,</w:t>
      </w:r>
      <w:r>
        <w:t xml:space="preserve"> and at times</w:t>
      </w:r>
      <w:r w:rsidR="39774067">
        <w:t>,</w:t>
      </w:r>
      <w:r>
        <w:t xml:space="preserve"> multi-faceted shortfalls. (For example, some of these are cumulative major shortfalls.) These actions should enable us to bring the KPI back on track.</w:t>
      </w:r>
    </w:p>
    <w:p w14:paraId="76E0F0AB" w14:textId="77777777" w:rsidR="00E609DB" w:rsidRDefault="00E609DB" w:rsidP="001E2CE8">
      <w:pPr>
        <w:pStyle w:val="NumberedlistHTA"/>
        <w:numPr>
          <w:ilvl w:val="0"/>
          <w:numId w:val="0"/>
        </w:numPr>
        <w:spacing w:after="0" w:line="320" w:lineRule="exact"/>
        <w:ind w:left="426"/>
      </w:pPr>
    </w:p>
    <w:p w14:paraId="1C72AA2E" w14:textId="30595DF4" w:rsidR="00FF1012" w:rsidRDefault="0A1BC976" w:rsidP="001E2CE8">
      <w:pPr>
        <w:pStyle w:val="NumberedlistHTA"/>
        <w:spacing w:after="0" w:line="320" w:lineRule="exact"/>
        <w:ind w:left="426" w:hanging="426"/>
      </w:pPr>
      <w:r>
        <w:t xml:space="preserve">We have identified those establishments that will require an inspection in 2023/24 to fulfil our statutory obligation to inspect HA licensed premises at a frequency of no less than once every two years. Whilst only one month into the business year at the time of reporting, we are on track to undertake 72 inspections </w:t>
      </w:r>
      <w:r w:rsidR="750E9D65">
        <w:t>by</w:t>
      </w:r>
      <w:r>
        <w:t xml:space="preserve"> year end. </w:t>
      </w:r>
    </w:p>
    <w:p w14:paraId="2CA226D5" w14:textId="77777777" w:rsidR="00E609DB" w:rsidRDefault="00E609DB" w:rsidP="001E2CE8">
      <w:pPr>
        <w:pStyle w:val="NumberedlistHTA"/>
        <w:numPr>
          <w:ilvl w:val="0"/>
          <w:numId w:val="0"/>
        </w:numPr>
        <w:spacing w:after="0" w:line="320" w:lineRule="exact"/>
      </w:pPr>
    </w:p>
    <w:p w14:paraId="75F7730F" w14:textId="77777777" w:rsidR="00FF1012" w:rsidRDefault="74BB3BD8" w:rsidP="001E2CE8">
      <w:pPr>
        <w:pStyle w:val="NumberedlistHTA"/>
        <w:spacing w:after="0" w:line="320" w:lineRule="exact"/>
        <w:ind w:left="426" w:hanging="426"/>
      </w:pPr>
      <w:r>
        <w:t>Through the Portfolio Management Process and our usual business delivery management, we continue to actively monitor amber and red KPIs to identify and address underlying issues.</w:t>
      </w:r>
    </w:p>
    <w:p w14:paraId="2C629D7B" w14:textId="77777777" w:rsidR="00E609DB" w:rsidRDefault="00E609DB" w:rsidP="001E2CE8">
      <w:pPr>
        <w:pStyle w:val="NumberedlistHTA"/>
        <w:numPr>
          <w:ilvl w:val="0"/>
          <w:numId w:val="0"/>
        </w:numPr>
        <w:spacing w:after="0" w:line="320" w:lineRule="exact"/>
      </w:pPr>
    </w:p>
    <w:p w14:paraId="111B2B56" w14:textId="05DEE5AE" w:rsidR="001044D8" w:rsidRPr="009611D1" w:rsidRDefault="001044D8" w:rsidP="001E2CE8">
      <w:pPr>
        <w:pStyle w:val="NumberedlistHTA"/>
        <w:numPr>
          <w:ilvl w:val="0"/>
          <w:numId w:val="0"/>
        </w:numPr>
        <w:spacing w:after="0" w:line="320" w:lineRule="exact"/>
        <w:ind w:left="426" w:hanging="426"/>
        <w:rPr>
          <w:u w:val="single"/>
        </w:rPr>
      </w:pPr>
      <w:r>
        <w:rPr>
          <w:u w:val="single"/>
        </w:rPr>
        <w:lastRenderedPageBreak/>
        <w:t>Other areas of note</w:t>
      </w:r>
    </w:p>
    <w:p w14:paraId="66E65690" w14:textId="77777777" w:rsidR="00E609DB" w:rsidRPr="009611D1" w:rsidRDefault="00E609DB" w:rsidP="001E2CE8">
      <w:pPr>
        <w:pStyle w:val="NumberedlistHTA"/>
        <w:numPr>
          <w:ilvl w:val="0"/>
          <w:numId w:val="0"/>
        </w:numPr>
        <w:spacing w:after="0" w:line="320" w:lineRule="exact"/>
        <w:ind w:left="426" w:hanging="426"/>
        <w:rPr>
          <w:u w:val="single"/>
        </w:rPr>
      </w:pPr>
    </w:p>
    <w:p w14:paraId="65C44891" w14:textId="68AFB110" w:rsidR="00377F15" w:rsidRDefault="7890F544" w:rsidP="001E2CE8">
      <w:pPr>
        <w:pStyle w:val="NumberedlistHTA"/>
        <w:spacing w:after="0" w:line="320" w:lineRule="exact"/>
        <w:ind w:left="426" w:hanging="426"/>
      </w:pPr>
      <w:r>
        <w:t>Th</w:t>
      </w:r>
      <w:r w:rsidR="362CDCD7">
        <w:t xml:space="preserve">e KPI around </w:t>
      </w:r>
      <w:r w:rsidR="71DF3D35">
        <w:t>our surplus against budget is a little misleading as it is the first month of the year</w:t>
      </w:r>
      <w:r w:rsidR="5079D445">
        <w:t xml:space="preserve"> and li</w:t>
      </w:r>
      <w:r w:rsidR="71DF3D35">
        <w:t>cence fee</w:t>
      </w:r>
      <w:r w:rsidR="16E89694">
        <w:t xml:space="preserve"> invoice</w:t>
      </w:r>
      <w:r w:rsidR="71DF3D35">
        <w:t>s for the HA sector</w:t>
      </w:r>
      <w:r w:rsidR="16E89694">
        <w:t xml:space="preserve"> have</w:t>
      </w:r>
      <w:r w:rsidR="4675D1A1">
        <w:t xml:space="preserve"> just been</w:t>
      </w:r>
      <w:r w:rsidR="16E89694">
        <w:t xml:space="preserve"> issued </w:t>
      </w:r>
      <w:r w:rsidR="6431103D">
        <w:t>for c</w:t>
      </w:r>
      <w:r w:rsidR="16E89694">
        <w:t>£1.4m</w:t>
      </w:r>
      <w:r w:rsidR="4B3D2E36">
        <w:t xml:space="preserve"> against our costs for</w:t>
      </w:r>
      <w:r w:rsidR="71DF3D35">
        <w:t xml:space="preserve"> a </w:t>
      </w:r>
      <w:r w:rsidR="4B3D2E36">
        <w:t>single month</w:t>
      </w:r>
      <w:r w:rsidR="0BB0CE6C">
        <w:t>,</w:t>
      </w:r>
      <w:r w:rsidR="4B3D2E36">
        <w:t xml:space="preserve"> therefore showing a significant </w:t>
      </w:r>
      <w:r w:rsidR="71DF3D35">
        <w:t>surplus</w:t>
      </w:r>
      <w:r w:rsidR="4B3D2E36">
        <w:t xml:space="preserve">. </w:t>
      </w:r>
      <w:r w:rsidR="110CC389">
        <w:t xml:space="preserve">By </w:t>
      </w:r>
      <w:r w:rsidR="51CB2C9E">
        <w:t>Q</w:t>
      </w:r>
      <w:r w:rsidR="110CC389">
        <w:t>uarter</w:t>
      </w:r>
      <w:r w:rsidR="69EF9E79">
        <w:t xml:space="preserve"> 2</w:t>
      </w:r>
      <w:r w:rsidR="2F981EB5">
        <w:t>,</w:t>
      </w:r>
      <w:r w:rsidR="69EF9E79">
        <w:t xml:space="preserve"> the position</w:t>
      </w:r>
      <w:r w:rsidR="6169F66A">
        <w:t xml:space="preserve"> will begin to balance out as more cost is incurred.</w:t>
      </w:r>
      <w:r w:rsidR="71DF3D35">
        <w:t xml:space="preserve"> </w:t>
      </w:r>
    </w:p>
    <w:p w14:paraId="17458E90" w14:textId="77777777" w:rsidR="00E609DB" w:rsidRDefault="00E609DB" w:rsidP="001E2CE8">
      <w:pPr>
        <w:pStyle w:val="NumberedlistHTA"/>
        <w:numPr>
          <w:ilvl w:val="0"/>
          <w:numId w:val="0"/>
        </w:numPr>
        <w:spacing w:after="0" w:line="320" w:lineRule="exact"/>
        <w:ind w:left="426"/>
      </w:pPr>
    </w:p>
    <w:p w14:paraId="3A32CB27" w14:textId="1F0EF69B" w:rsidR="001044D8" w:rsidRPr="004F7437" w:rsidRDefault="2C552114" w:rsidP="001E2CE8">
      <w:pPr>
        <w:pStyle w:val="NumberedlistHTA"/>
        <w:spacing w:after="0" w:line="320" w:lineRule="exact"/>
        <w:ind w:left="426" w:hanging="426"/>
      </w:pPr>
      <w:r>
        <w:t>Early p</w:t>
      </w:r>
      <w:r w:rsidR="5520ED27">
        <w:t>roject</w:t>
      </w:r>
      <w:r w:rsidR="3A52E4B9">
        <w:t xml:space="preserve"> </w:t>
      </w:r>
      <w:r w:rsidR="3F2EB937">
        <w:t>progress</w:t>
      </w:r>
      <w:r w:rsidR="23B775B1">
        <w:t xml:space="preserve"> across our range of different projects</w:t>
      </w:r>
      <w:r w:rsidR="3F2EB937">
        <w:t xml:space="preserve"> has been acceptable to date</w:t>
      </w:r>
      <w:r w:rsidR="72EA3715">
        <w:t xml:space="preserve">, </w:t>
      </w:r>
      <w:r w:rsidR="2DAB508F">
        <w:t>albeit</w:t>
      </w:r>
      <w:r w:rsidR="72EA3715">
        <w:t xml:space="preserve"> that </w:t>
      </w:r>
      <w:r w:rsidR="5FA78AC9">
        <w:t>several</w:t>
      </w:r>
      <w:r w:rsidR="21917D9E">
        <w:t xml:space="preserve"> indicative start dates have been </w:t>
      </w:r>
      <w:r w:rsidR="45F128A8">
        <w:t>adjusted</w:t>
      </w:r>
      <w:r w:rsidR="2DAB508F">
        <w:t xml:space="preserve"> to later in the year</w:t>
      </w:r>
      <w:r w:rsidR="45F128A8">
        <w:t xml:space="preserve"> through our change control process to </w:t>
      </w:r>
      <w:r w:rsidR="0FEC2356">
        <w:t xml:space="preserve">give </w:t>
      </w:r>
      <w:r w:rsidR="2DFB64A7">
        <w:t>a</w:t>
      </w:r>
      <w:r w:rsidR="5A76BB04">
        <w:t xml:space="preserve"> </w:t>
      </w:r>
      <w:r w:rsidR="7E14FA0A">
        <w:t>more</w:t>
      </w:r>
      <w:r w:rsidR="2DAB508F">
        <w:t xml:space="preserve"> realistic delivery programme.</w:t>
      </w:r>
    </w:p>
    <w:p w14:paraId="225B74DD" w14:textId="77777777" w:rsidR="00E609DB" w:rsidRPr="004F7437" w:rsidRDefault="00E609DB" w:rsidP="001E2CE8">
      <w:pPr>
        <w:pStyle w:val="NumberedlistHTA"/>
        <w:numPr>
          <w:ilvl w:val="0"/>
          <w:numId w:val="0"/>
        </w:numPr>
        <w:spacing w:after="0" w:line="320" w:lineRule="exact"/>
      </w:pPr>
    </w:p>
    <w:p w14:paraId="0667D7CC" w14:textId="36C0AF0E" w:rsidR="00CF1AD2" w:rsidRPr="00CF1AD2" w:rsidRDefault="00CF1AD2" w:rsidP="001E2CE8">
      <w:pPr>
        <w:pStyle w:val="NumberedlistHTA"/>
        <w:numPr>
          <w:ilvl w:val="0"/>
          <w:numId w:val="0"/>
        </w:numPr>
        <w:spacing w:after="0" w:line="320" w:lineRule="exact"/>
        <w:rPr>
          <w:b/>
          <w:bCs/>
          <w:sz w:val="32"/>
          <w:szCs w:val="32"/>
        </w:rPr>
      </w:pPr>
      <w:r w:rsidRPr="72C628C3">
        <w:rPr>
          <w:b/>
          <w:bCs/>
          <w:sz w:val="32"/>
          <w:szCs w:val="32"/>
        </w:rPr>
        <w:t xml:space="preserve">Recommendation </w:t>
      </w:r>
    </w:p>
    <w:p w14:paraId="650B848F" w14:textId="77777777" w:rsidR="00E609DB" w:rsidRPr="00CF1AD2" w:rsidRDefault="00E609DB" w:rsidP="001E2CE8">
      <w:pPr>
        <w:pStyle w:val="NumberedlistHTA"/>
        <w:numPr>
          <w:ilvl w:val="0"/>
          <w:numId w:val="0"/>
        </w:numPr>
        <w:spacing w:after="0" w:line="320" w:lineRule="exact"/>
        <w:ind w:left="426" w:hanging="426"/>
        <w:rPr>
          <w:b/>
          <w:bCs/>
          <w:sz w:val="32"/>
          <w:szCs w:val="32"/>
        </w:rPr>
      </w:pPr>
    </w:p>
    <w:p w14:paraId="74D7386E" w14:textId="77777777" w:rsidR="006D42BA" w:rsidRDefault="18DCCE4D" w:rsidP="001E2CE8">
      <w:pPr>
        <w:pStyle w:val="NumberedlistHTA"/>
        <w:spacing w:after="0" w:line="320" w:lineRule="exact"/>
        <w:ind w:left="426" w:hanging="426"/>
      </w:pPr>
      <w:r>
        <w:t xml:space="preserve">The HTA Board is asked to note and comment on the performance recorded and the context provided. </w:t>
      </w:r>
    </w:p>
    <w:p w14:paraId="13E5DA65" w14:textId="77777777" w:rsidR="007E4EC2" w:rsidRDefault="007E4EC2" w:rsidP="00653D33">
      <w:pPr>
        <w:pStyle w:val="NumberedlistHTA"/>
        <w:numPr>
          <w:ilvl w:val="0"/>
          <w:numId w:val="0"/>
        </w:numPr>
        <w:spacing w:after="160"/>
        <w:ind w:left="426" w:hanging="426"/>
        <w:sectPr w:rsidR="007E4EC2" w:rsidSect="000837C0">
          <w:headerReference w:type="default" r:id="rId12"/>
          <w:footerReference w:type="default" r:id="rId13"/>
          <w:pgSz w:w="11906" w:h="16838"/>
          <w:pgMar w:top="1702" w:right="1440" w:bottom="1440" w:left="1440" w:header="567" w:footer="330" w:gutter="0"/>
          <w:cols w:space="708"/>
          <w:docGrid w:linePitch="360"/>
        </w:sectPr>
      </w:pPr>
    </w:p>
    <w:p w14:paraId="42C644B0" w14:textId="77777777" w:rsidR="00F50CEE" w:rsidRDefault="00F50CEE" w:rsidP="00E11509">
      <w:pPr>
        <w:pStyle w:val="NumberedlistHTA"/>
        <w:numPr>
          <w:ilvl w:val="0"/>
          <w:numId w:val="0"/>
        </w:numPr>
        <w:spacing w:after="160"/>
        <w:ind w:left="720"/>
        <w:rPr>
          <w:b/>
          <w:bCs/>
        </w:rPr>
        <w:sectPr w:rsidR="00F50CEE" w:rsidSect="000837C0">
          <w:pgSz w:w="16838" w:h="11906" w:orient="landscape"/>
          <w:pgMar w:top="1440" w:right="1702" w:bottom="1440" w:left="1440" w:header="567" w:footer="330" w:gutter="0"/>
          <w:cols w:space="708"/>
          <w:docGrid w:linePitch="360"/>
        </w:sectPr>
      </w:pPr>
    </w:p>
    <w:p w14:paraId="1F0FCB4D" w14:textId="1957C09A" w:rsidR="00A53FAC" w:rsidRDefault="00391A75" w:rsidP="00F50CEE">
      <w:pPr>
        <w:pStyle w:val="NumberedlistHTA"/>
        <w:numPr>
          <w:ilvl w:val="0"/>
          <w:numId w:val="0"/>
        </w:numPr>
        <w:spacing w:after="160"/>
        <w:ind w:left="720"/>
        <w:rPr>
          <w:b/>
          <w:bCs/>
        </w:rPr>
      </w:pPr>
      <w:r w:rsidRPr="00391A75">
        <w:rPr>
          <w:b/>
          <w:bCs/>
        </w:rPr>
        <w:t>Annex A</w:t>
      </w:r>
      <w:r w:rsidR="00A05328">
        <w:rPr>
          <w:b/>
          <w:bCs/>
        </w:rPr>
        <w:t xml:space="preserve"> – Quarterly Board Data Overview</w:t>
      </w:r>
      <w:r w:rsidR="00C245BC">
        <w:rPr>
          <w:b/>
          <w:bCs/>
        </w:rPr>
        <w:t>,</w:t>
      </w:r>
      <w:r w:rsidR="003C06AD">
        <w:rPr>
          <w:b/>
          <w:bCs/>
        </w:rPr>
        <w:t xml:space="preserve"> </w:t>
      </w:r>
      <w:r w:rsidR="00C245BC">
        <w:rPr>
          <w:b/>
          <w:bCs/>
        </w:rPr>
        <w:t>22/23</w:t>
      </w:r>
      <w:r w:rsidR="003C06AD">
        <w:rPr>
          <w:b/>
          <w:bCs/>
        </w:rPr>
        <w:t xml:space="preserve"> Year End Position</w:t>
      </w:r>
    </w:p>
    <w:p w14:paraId="549B45EA" w14:textId="2AB5E49B" w:rsidR="007C14BE" w:rsidRDefault="0031399A" w:rsidP="00F50CEE">
      <w:pPr>
        <w:pStyle w:val="NumberedlistHTA"/>
        <w:numPr>
          <w:ilvl w:val="0"/>
          <w:numId w:val="0"/>
        </w:numPr>
        <w:spacing w:after="160"/>
        <w:ind w:left="720"/>
        <w:rPr>
          <w:b/>
          <w:bCs/>
        </w:rPr>
      </w:pPr>
      <w:r>
        <w:rPr>
          <w:b/>
          <w:bCs/>
        </w:rPr>
        <w:t>Core Operations</w:t>
      </w:r>
    </w:p>
    <w:p w14:paraId="5C33CFAB" w14:textId="5F1C1D42" w:rsidR="007476CF" w:rsidRDefault="00D00390" w:rsidP="00F50CEE">
      <w:pPr>
        <w:pStyle w:val="NumberedlistHTA"/>
        <w:numPr>
          <w:ilvl w:val="0"/>
          <w:numId w:val="0"/>
        </w:numPr>
        <w:spacing w:after="160"/>
        <w:ind w:left="720"/>
        <w:rPr>
          <w:b/>
          <w:bCs/>
        </w:rPr>
      </w:pPr>
      <w:r w:rsidRPr="00D00390">
        <w:rPr>
          <w:b/>
          <w:bCs/>
          <w:noProof/>
        </w:rPr>
        <w:drawing>
          <wp:inline distT="0" distB="0" distL="0" distR="0" wp14:anchorId="1582D482" wp14:editId="54C7E4A0">
            <wp:extent cx="8096250" cy="4582515"/>
            <wp:effectExtent l="0" t="0" r="0" b="889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4"/>
                    <a:stretch>
                      <a:fillRect/>
                    </a:stretch>
                  </pic:blipFill>
                  <pic:spPr>
                    <a:xfrm>
                      <a:off x="0" y="0"/>
                      <a:ext cx="8118126" cy="4594897"/>
                    </a:xfrm>
                    <a:prstGeom prst="rect">
                      <a:avLst/>
                    </a:prstGeom>
                    <a:noFill/>
                  </pic:spPr>
                </pic:pic>
              </a:graphicData>
            </a:graphic>
          </wp:inline>
        </w:drawing>
      </w:r>
    </w:p>
    <w:p w14:paraId="42C7F82E" w14:textId="77777777" w:rsidR="007211B6" w:rsidRDefault="007211B6" w:rsidP="00F50CEE">
      <w:pPr>
        <w:pStyle w:val="NumberedlistHTA"/>
        <w:numPr>
          <w:ilvl w:val="0"/>
          <w:numId w:val="0"/>
        </w:numPr>
        <w:spacing w:after="160"/>
        <w:ind w:left="720"/>
        <w:rPr>
          <w:b/>
          <w:bCs/>
        </w:rPr>
      </w:pPr>
    </w:p>
    <w:p w14:paraId="006C9530" w14:textId="77777777" w:rsidR="007211B6" w:rsidRDefault="007211B6" w:rsidP="00F50CEE">
      <w:pPr>
        <w:pStyle w:val="NumberedlistHTA"/>
        <w:numPr>
          <w:ilvl w:val="0"/>
          <w:numId w:val="0"/>
        </w:numPr>
        <w:spacing w:after="160"/>
        <w:ind w:left="720"/>
        <w:rPr>
          <w:b/>
          <w:bCs/>
        </w:rPr>
      </w:pPr>
    </w:p>
    <w:p w14:paraId="56A23467" w14:textId="3725DF97" w:rsidR="00F04D6A" w:rsidRPr="00104633" w:rsidRDefault="0031399A" w:rsidP="003C06AD">
      <w:pPr>
        <w:pStyle w:val="NumberedlistHTA"/>
        <w:numPr>
          <w:ilvl w:val="0"/>
          <w:numId w:val="0"/>
        </w:numPr>
        <w:spacing w:after="160"/>
        <w:rPr>
          <w:b/>
          <w:bCs/>
        </w:rPr>
      </w:pPr>
      <w:r w:rsidRPr="00104633">
        <w:rPr>
          <w:b/>
          <w:bCs/>
        </w:rPr>
        <w:t>Change Activities</w:t>
      </w:r>
    </w:p>
    <w:tbl>
      <w:tblPr>
        <w:tblW w:w="14884" w:type="dxa"/>
        <w:tblLayout w:type="fixed"/>
        <w:tblCellMar>
          <w:left w:w="0" w:type="dxa"/>
          <w:right w:w="0" w:type="dxa"/>
        </w:tblCellMar>
        <w:tblLook w:val="0600" w:firstRow="0" w:lastRow="0" w:firstColumn="0" w:lastColumn="0" w:noHBand="1" w:noVBand="1"/>
      </w:tblPr>
      <w:tblGrid>
        <w:gridCol w:w="339"/>
        <w:gridCol w:w="4040"/>
        <w:gridCol w:w="3459"/>
        <w:gridCol w:w="578"/>
        <w:gridCol w:w="578"/>
        <w:gridCol w:w="578"/>
        <w:gridCol w:w="578"/>
        <w:gridCol w:w="578"/>
        <w:gridCol w:w="578"/>
        <w:gridCol w:w="3578"/>
      </w:tblGrid>
      <w:tr w:rsidR="0021239F" w:rsidRPr="00104633" w14:paraId="1804CED5" w14:textId="77777777" w:rsidTr="00104633">
        <w:trPr>
          <w:trHeight w:val="680"/>
        </w:trPr>
        <w:tc>
          <w:tcPr>
            <w:tcW w:w="339"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2FB05E2" w14:textId="77777777" w:rsidR="00D15E0C" w:rsidRPr="00D15E0C" w:rsidRDefault="00D15E0C" w:rsidP="00D15E0C">
            <w:pPr>
              <w:spacing w:before="0" w:after="0" w:line="240" w:lineRule="auto"/>
              <w:rPr>
                <w:rFonts w:ascii="Arial" w:eastAsia="Times New Roman" w:hAnsi="Arial" w:cs="Arial"/>
                <w:sz w:val="24"/>
                <w:szCs w:val="24"/>
                <w:lang w:eastAsia="en-GB"/>
              </w:rPr>
            </w:pPr>
          </w:p>
        </w:tc>
        <w:tc>
          <w:tcPr>
            <w:tcW w:w="4040" w:type="dxa"/>
            <w:tcBorders>
              <w:top w:val="single" w:sz="8" w:space="0" w:color="000000"/>
              <w:left w:val="single" w:sz="8" w:space="0" w:color="000000"/>
              <w:bottom w:val="single" w:sz="8" w:space="0" w:color="000000"/>
              <w:right w:val="nil"/>
            </w:tcBorders>
            <w:shd w:val="clear" w:color="auto" w:fill="262626"/>
            <w:tcMar>
              <w:top w:w="15" w:type="dxa"/>
              <w:left w:w="15" w:type="dxa"/>
              <w:bottom w:w="0" w:type="dxa"/>
              <w:right w:w="15" w:type="dxa"/>
            </w:tcMar>
            <w:vAlign w:val="center"/>
            <w:hideMark/>
          </w:tcPr>
          <w:p w14:paraId="031D9455" w14:textId="77777777" w:rsidR="00D15E0C" w:rsidRPr="00D15E0C" w:rsidRDefault="00D15E0C" w:rsidP="00D15E0C">
            <w:pPr>
              <w:spacing w:before="0" w:after="0" w:line="240" w:lineRule="auto"/>
              <w:jc w:val="center"/>
              <w:textAlignment w:val="center"/>
              <w:rPr>
                <w:rFonts w:ascii="Arial" w:eastAsia="Times New Roman" w:hAnsi="Arial" w:cs="Arial"/>
                <w:sz w:val="36"/>
                <w:szCs w:val="36"/>
                <w:lang w:eastAsia="en-GB"/>
              </w:rPr>
            </w:pPr>
            <w:r w:rsidRPr="00D15E0C">
              <w:rPr>
                <w:rFonts w:ascii="Arial" w:eastAsia="Times New Roman" w:hAnsi="Arial" w:cs="Arial"/>
                <w:color w:val="FFFFFF"/>
                <w:kern w:val="24"/>
                <w:sz w:val="24"/>
                <w:szCs w:val="24"/>
                <w:lang w:eastAsia="en-GB"/>
              </w:rPr>
              <w:t>Project</w:t>
            </w:r>
          </w:p>
        </w:tc>
        <w:tc>
          <w:tcPr>
            <w:tcW w:w="3459" w:type="dxa"/>
            <w:tcBorders>
              <w:top w:val="single" w:sz="8" w:space="0" w:color="000000"/>
              <w:left w:val="nil"/>
              <w:bottom w:val="single" w:sz="8" w:space="0" w:color="000000"/>
              <w:right w:val="nil"/>
            </w:tcBorders>
            <w:shd w:val="clear" w:color="auto" w:fill="262626"/>
            <w:tcMar>
              <w:top w:w="15" w:type="dxa"/>
              <w:left w:w="15" w:type="dxa"/>
              <w:bottom w:w="0" w:type="dxa"/>
              <w:right w:w="15" w:type="dxa"/>
            </w:tcMar>
            <w:vAlign w:val="center"/>
            <w:hideMark/>
          </w:tcPr>
          <w:p w14:paraId="20D04391" w14:textId="77777777" w:rsidR="00D15E0C" w:rsidRPr="00D15E0C" w:rsidRDefault="00D15E0C" w:rsidP="00D15E0C">
            <w:pPr>
              <w:spacing w:before="0" w:after="0" w:line="240" w:lineRule="auto"/>
              <w:jc w:val="center"/>
              <w:textAlignment w:val="center"/>
              <w:rPr>
                <w:rFonts w:ascii="Arial" w:eastAsia="Times New Roman" w:hAnsi="Arial" w:cs="Arial"/>
                <w:sz w:val="36"/>
                <w:szCs w:val="36"/>
                <w:lang w:eastAsia="en-GB"/>
              </w:rPr>
            </w:pPr>
            <w:r w:rsidRPr="00D15E0C">
              <w:rPr>
                <w:rFonts w:ascii="Arial" w:eastAsia="Times New Roman" w:hAnsi="Arial" w:cs="Arial"/>
                <w:color w:val="FFFFFF"/>
                <w:kern w:val="24"/>
                <w:sz w:val="24"/>
                <w:szCs w:val="24"/>
                <w:lang w:eastAsia="en-GB"/>
              </w:rPr>
              <w:t>Sponsor</w:t>
            </w:r>
          </w:p>
        </w:tc>
        <w:tc>
          <w:tcPr>
            <w:tcW w:w="578" w:type="dxa"/>
            <w:tcBorders>
              <w:top w:val="single" w:sz="8" w:space="0" w:color="000000"/>
              <w:left w:val="nil"/>
              <w:bottom w:val="single" w:sz="8" w:space="0" w:color="000000"/>
              <w:right w:val="single" w:sz="4" w:space="0" w:color="43165E"/>
            </w:tcBorders>
            <w:shd w:val="clear" w:color="auto" w:fill="002060"/>
            <w:tcMar>
              <w:top w:w="15" w:type="dxa"/>
              <w:left w:w="15" w:type="dxa"/>
              <w:bottom w:w="0" w:type="dxa"/>
              <w:right w:w="15" w:type="dxa"/>
            </w:tcMar>
            <w:vAlign w:val="center"/>
            <w:hideMark/>
          </w:tcPr>
          <w:p w14:paraId="70BCDE7A" w14:textId="77777777" w:rsidR="00D15E0C" w:rsidRPr="00D15E0C" w:rsidRDefault="00D15E0C" w:rsidP="00D15E0C">
            <w:pPr>
              <w:spacing w:before="0" w:after="0" w:line="240" w:lineRule="auto"/>
              <w:jc w:val="center"/>
              <w:textAlignment w:val="center"/>
              <w:rPr>
                <w:rFonts w:ascii="Arial" w:eastAsia="Times New Roman" w:hAnsi="Arial" w:cs="Arial"/>
                <w:sz w:val="36"/>
                <w:szCs w:val="36"/>
                <w:lang w:eastAsia="en-GB"/>
              </w:rPr>
            </w:pPr>
            <w:r w:rsidRPr="00D15E0C">
              <w:rPr>
                <w:rFonts w:ascii="Arial" w:eastAsia="Times New Roman" w:hAnsi="Arial" w:cs="Arial"/>
                <w:color w:val="FFFFFF"/>
                <w:kern w:val="24"/>
                <w:sz w:val="24"/>
                <w:szCs w:val="24"/>
                <w:lang w:eastAsia="en-GB"/>
              </w:rPr>
              <w:t>Oct 22</w:t>
            </w:r>
          </w:p>
        </w:tc>
        <w:tc>
          <w:tcPr>
            <w:tcW w:w="578" w:type="dxa"/>
            <w:tcBorders>
              <w:top w:val="single" w:sz="8" w:space="0" w:color="000000"/>
              <w:left w:val="single" w:sz="4" w:space="0" w:color="43165E"/>
              <w:bottom w:val="single" w:sz="8" w:space="0" w:color="000000"/>
              <w:right w:val="single" w:sz="8" w:space="0" w:color="000000"/>
            </w:tcBorders>
            <w:shd w:val="clear" w:color="auto" w:fill="002060"/>
            <w:tcMar>
              <w:top w:w="15" w:type="dxa"/>
              <w:left w:w="15" w:type="dxa"/>
              <w:bottom w:w="0" w:type="dxa"/>
              <w:right w:w="15" w:type="dxa"/>
            </w:tcMar>
            <w:vAlign w:val="center"/>
            <w:hideMark/>
          </w:tcPr>
          <w:p w14:paraId="18AFE622" w14:textId="77777777" w:rsidR="00D15E0C" w:rsidRPr="00D15E0C" w:rsidRDefault="00D15E0C" w:rsidP="00D15E0C">
            <w:pPr>
              <w:spacing w:before="0" w:after="0" w:line="240" w:lineRule="auto"/>
              <w:jc w:val="center"/>
              <w:textAlignment w:val="center"/>
              <w:rPr>
                <w:rFonts w:ascii="Arial" w:eastAsia="Times New Roman" w:hAnsi="Arial" w:cs="Arial"/>
                <w:sz w:val="36"/>
                <w:szCs w:val="36"/>
                <w:lang w:eastAsia="en-GB"/>
              </w:rPr>
            </w:pPr>
            <w:r w:rsidRPr="00D15E0C">
              <w:rPr>
                <w:rFonts w:ascii="Arial" w:eastAsia="Times New Roman" w:hAnsi="Arial" w:cs="Arial"/>
                <w:color w:val="FFFFFF"/>
                <w:kern w:val="24"/>
                <w:sz w:val="24"/>
                <w:szCs w:val="24"/>
                <w:lang w:eastAsia="en-GB"/>
              </w:rPr>
              <w:t>Nov 22</w:t>
            </w:r>
          </w:p>
        </w:tc>
        <w:tc>
          <w:tcPr>
            <w:tcW w:w="578" w:type="dxa"/>
            <w:tcBorders>
              <w:top w:val="single" w:sz="8" w:space="0" w:color="000000"/>
              <w:left w:val="single" w:sz="8" w:space="0" w:color="000000"/>
              <w:bottom w:val="single" w:sz="8" w:space="0" w:color="000000"/>
              <w:right w:val="single" w:sz="8" w:space="0" w:color="000000"/>
            </w:tcBorders>
            <w:shd w:val="clear" w:color="auto" w:fill="002060"/>
            <w:tcMar>
              <w:top w:w="15" w:type="dxa"/>
              <w:left w:w="15" w:type="dxa"/>
              <w:bottom w:w="0" w:type="dxa"/>
              <w:right w:w="15" w:type="dxa"/>
            </w:tcMar>
            <w:vAlign w:val="center"/>
            <w:hideMark/>
          </w:tcPr>
          <w:p w14:paraId="2F1C6AEA" w14:textId="77777777" w:rsidR="00D15E0C" w:rsidRPr="00D15E0C" w:rsidRDefault="00D15E0C" w:rsidP="00D15E0C">
            <w:pPr>
              <w:spacing w:before="0" w:after="0" w:line="240" w:lineRule="auto"/>
              <w:jc w:val="center"/>
              <w:textAlignment w:val="center"/>
              <w:rPr>
                <w:rFonts w:ascii="Arial" w:eastAsia="Times New Roman" w:hAnsi="Arial" w:cs="Arial"/>
                <w:sz w:val="36"/>
                <w:szCs w:val="36"/>
                <w:lang w:eastAsia="en-GB"/>
              </w:rPr>
            </w:pPr>
            <w:r w:rsidRPr="00D15E0C">
              <w:rPr>
                <w:rFonts w:ascii="Arial" w:eastAsia="Times New Roman" w:hAnsi="Arial" w:cs="Arial"/>
                <w:color w:val="FFFFFF"/>
                <w:kern w:val="24"/>
                <w:sz w:val="24"/>
                <w:szCs w:val="24"/>
                <w:lang w:eastAsia="en-GB"/>
              </w:rPr>
              <w:t>Dec 22</w:t>
            </w:r>
          </w:p>
        </w:tc>
        <w:tc>
          <w:tcPr>
            <w:tcW w:w="578" w:type="dxa"/>
            <w:tcBorders>
              <w:top w:val="single" w:sz="8" w:space="0" w:color="000000"/>
              <w:left w:val="single" w:sz="8" w:space="0" w:color="000000"/>
              <w:bottom w:val="single" w:sz="8" w:space="0" w:color="000000"/>
              <w:right w:val="single" w:sz="8" w:space="0" w:color="000000"/>
            </w:tcBorders>
            <w:shd w:val="clear" w:color="auto" w:fill="002060"/>
            <w:tcMar>
              <w:top w:w="15" w:type="dxa"/>
              <w:left w:w="15" w:type="dxa"/>
              <w:bottom w:w="0" w:type="dxa"/>
              <w:right w:w="15" w:type="dxa"/>
            </w:tcMar>
            <w:vAlign w:val="center"/>
            <w:hideMark/>
          </w:tcPr>
          <w:p w14:paraId="703E4E33" w14:textId="77777777" w:rsidR="00D15E0C" w:rsidRPr="00D15E0C" w:rsidRDefault="00D15E0C" w:rsidP="00D15E0C">
            <w:pPr>
              <w:spacing w:before="0" w:after="0" w:line="240" w:lineRule="auto"/>
              <w:jc w:val="center"/>
              <w:textAlignment w:val="center"/>
              <w:rPr>
                <w:rFonts w:ascii="Arial" w:eastAsia="Times New Roman" w:hAnsi="Arial" w:cs="Arial"/>
                <w:sz w:val="36"/>
                <w:szCs w:val="36"/>
                <w:lang w:eastAsia="en-GB"/>
              </w:rPr>
            </w:pPr>
            <w:r w:rsidRPr="00D15E0C">
              <w:rPr>
                <w:rFonts w:ascii="Arial" w:eastAsia="Times New Roman" w:hAnsi="Arial" w:cs="Arial"/>
                <w:color w:val="FFFFFF"/>
                <w:kern w:val="24"/>
                <w:sz w:val="24"/>
                <w:szCs w:val="24"/>
                <w:lang w:eastAsia="en-GB"/>
              </w:rPr>
              <w:t>Jan 23</w:t>
            </w:r>
          </w:p>
        </w:tc>
        <w:tc>
          <w:tcPr>
            <w:tcW w:w="578" w:type="dxa"/>
            <w:tcBorders>
              <w:top w:val="single" w:sz="8" w:space="0" w:color="000000"/>
              <w:left w:val="single" w:sz="8" w:space="0" w:color="000000"/>
              <w:bottom w:val="single" w:sz="8" w:space="0" w:color="000000"/>
              <w:right w:val="single" w:sz="8" w:space="0" w:color="000000"/>
            </w:tcBorders>
            <w:shd w:val="clear" w:color="auto" w:fill="002060"/>
            <w:tcMar>
              <w:top w:w="15" w:type="dxa"/>
              <w:left w:w="15" w:type="dxa"/>
              <w:bottom w:w="0" w:type="dxa"/>
              <w:right w:w="15" w:type="dxa"/>
            </w:tcMar>
            <w:vAlign w:val="center"/>
            <w:hideMark/>
          </w:tcPr>
          <w:p w14:paraId="214AE766" w14:textId="77777777" w:rsidR="00D15E0C" w:rsidRPr="00D15E0C" w:rsidRDefault="00D15E0C" w:rsidP="00D15E0C">
            <w:pPr>
              <w:spacing w:before="0" w:after="0" w:line="240" w:lineRule="auto"/>
              <w:jc w:val="center"/>
              <w:textAlignment w:val="center"/>
              <w:rPr>
                <w:rFonts w:ascii="Arial" w:eastAsia="Times New Roman" w:hAnsi="Arial" w:cs="Arial"/>
                <w:sz w:val="36"/>
                <w:szCs w:val="36"/>
                <w:lang w:eastAsia="en-GB"/>
              </w:rPr>
            </w:pPr>
            <w:r w:rsidRPr="00D15E0C">
              <w:rPr>
                <w:rFonts w:ascii="Arial" w:eastAsia="Times New Roman" w:hAnsi="Arial" w:cs="Arial"/>
                <w:color w:val="FFFFFF"/>
                <w:kern w:val="24"/>
                <w:sz w:val="24"/>
                <w:szCs w:val="24"/>
                <w:lang w:eastAsia="en-GB"/>
              </w:rPr>
              <w:t>Feb 23</w:t>
            </w:r>
          </w:p>
        </w:tc>
        <w:tc>
          <w:tcPr>
            <w:tcW w:w="578" w:type="dxa"/>
            <w:tcBorders>
              <w:top w:val="single" w:sz="8" w:space="0" w:color="000000"/>
              <w:left w:val="single" w:sz="8" w:space="0" w:color="000000"/>
              <w:bottom w:val="single" w:sz="8" w:space="0" w:color="000000"/>
              <w:right w:val="single" w:sz="8" w:space="0" w:color="000000"/>
            </w:tcBorders>
            <w:shd w:val="clear" w:color="auto" w:fill="002060"/>
            <w:tcMar>
              <w:top w:w="15" w:type="dxa"/>
              <w:left w:w="15" w:type="dxa"/>
              <w:bottom w:w="0" w:type="dxa"/>
              <w:right w:w="15" w:type="dxa"/>
            </w:tcMar>
            <w:vAlign w:val="center"/>
            <w:hideMark/>
          </w:tcPr>
          <w:p w14:paraId="519C0B0C" w14:textId="77777777" w:rsidR="00D15E0C" w:rsidRPr="00D15E0C" w:rsidRDefault="00D15E0C" w:rsidP="00D15E0C">
            <w:pPr>
              <w:spacing w:before="0" w:after="0" w:line="240" w:lineRule="auto"/>
              <w:jc w:val="center"/>
              <w:textAlignment w:val="center"/>
              <w:rPr>
                <w:rFonts w:ascii="Arial" w:eastAsia="Times New Roman" w:hAnsi="Arial" w:cs="Arial"/>
                <w:sz w:val="36"/>
                <w:szCs w:val="36"/>
                <w:lang w:eastAsia="en-GB"/>
              </w:rPr>
            </w:pPr>
            <w:r w:rsidRPr="00D15E0C">
              <w:rPr>
                <w:rFonts w:ascii="Arial" w:eastAsia="Times New Roman" w:hAnsi="Arial" w:cs="Arial"/>
                <w:color w:val="FFFFFF"/>
                <w:kern w:val="24"/>
                <w:sz w:val="24"/>
                <w:szCs w:val="24"/>
                <w:lang w:eastAsia="en-GB"/>
              </w:rPr>
              <w:t>Mar 23</w:t>
            </w:r>
          </w:p>
        </w:tc>
        <w:tc>
          <w:tcPr>
            <w:tcW w:w="3578" w:type="dxa"/>
            <w:tcBorders>
              <w:top w:val="single" w:sz="8" w:space="0" w:color="000000"/>
              <w:left w:val="single" w:sz="8" w:space="0" w:color="000000"/>
              <w:bottom w:val="single" w:sz="8" w:space="0" w:color="000000"/>
              <w:right w:val="single" w:sz="8" w:space="0" w:color="000000"/>
            </w:tcBorders>
            <w:shd w:val="clear" w:color="auto" w:fill="7030A0"/>
            <w:tcMar>
              <w:top w:w="15" w:type="dxa"/>
              <w:left w:w="15" w:type="dxa"/>
              <w:bottom w:w="0" w:type="dxa"/>
              <w:right w:w="15" w:type="dxa"/>
            </w:tcMar>
            <w:vAlign w:val="center"/>
            <w:hideMark/>
          </w:tcPr>
          <w:p w14:paraId="6A60A0C6" w14:textId="77777777" w:rsidR="00D15E0C" w:rsidRPr="00D15E0C" w:rsidRDefault="00D15E0C" w:rsidP="00D15E0C">
            <w:pPr>
              <w:spacing w:before="0" w:after="0" w:line="240" w:lineRule="auto"/>
              <w:jc w:val="center"/>
              <w:textAlignment w:val="center"/>
              <w:rPr>
                <w:rFonts w:ascii="Arial" w:eastAsia="Times New Roman" w:hAnsi="Arial" w:cs="Arial"/>
                <w:sz w:val="36"/>
                <w:szCs w:val="36"/>
                <w:lang w:eastAsia="en-GB"/>
              </w:rPr>
            </w:pPr>
            <w:r w:rsidRPr="00D15E0C">
              <w:rPr>
                <w:rFonts w:ascii="Arial" w:eastAsia="Times New Roman" w:hAnsi="Arial" w:cs="Arial"/>
                <w:color w:val="FFFFFF"/>
                <w:kern w:val="24"/>
                <w:sz w:val="24"/>
                <w:szCs w:val="24"/>
                <w:lang w:eastAsia="en-GB"/>
              </w:rPr>
              <w:t>22/23 Year End Position</w:t>
            </w:r>
          </w:p>
        </w:tc>
      </w:tr>
      <w:tr w:rsidR="0021239F" w:rsidRPr="00104633" w14:paraId="115D29B1" w14:textId="77777777" w:rsidTr="00104633">
        <w:trPr>
          <w:trHeight w:val="567"/>
        </w:trPr>
        <w:tc>
          <w:tcPr>
            <w:tcW w:w="339" w:type="dxa"/>
            <w:vMerge w:val="restart"/>
            <w:tcBorders>
              <w:top w:val="single" w:sz="8" w:space="0" w:color="000000"/>
              <w:left w:val="single" w:sz="8" w:space="0" w:color="000000"/>
              <w:bottom w:val="single" w:sz="8" w:space="0" w:color="000000"/>
              <w:right w:val="single" w:sz="8" w:space="0" w:color="000000"/>
            </w:tcBorders>
            <w:shd w:val="clear" w:color="auto" w:fill="002060"/>
            <w:tcMar>
              <w:top w:w="15" w:type="dxa"/>
              <w:left w:w="15" w:type="dxa"/>
              <w:bottom w:w="0" w:type="dxa"/>
              <w:right w:w="15" w:type="dxa"/>
            </w:tcMar>
            <w:textDirection w:val="btLr"/>
            <w:vAlign w:val="center"/>
            <w:hideMark/>
          </w:tcPr>
          <w:p w14:paraId="0B7F815F" w14:textId="77777777" w:rsidR="00D15E0C" w:rsidRPr="00D15E0C" w:rsidRDefault="00D15E0C" w:rsidP="00D15E0C">
            <w:pPr>
              <w:spacing w:before="0" w:after="0" w:line="240" w:lineRule="auto"/>
              <w:jc w:val="center"/>
              <w:textAlignment w:val="center"/>
              <w:rPr>
                <w:rFonts w:ascii="Arial" w:eastAsia="Times New Roman" w:hAnsi="Arial" w:cs="Arial"/>
                <w:sz w:val="36"/>
                <w:szCs w:val="36"/>
                <w:lang w:eastAsia="en-GB"/>
              </w:rPr>
            </w:pPr>
            <w:r w:rsidRPr="00D15E0C">
              <w:rPr>
                <w:rFonts w:ascii="Arial" w:eastAsia="Times New Roman" w:hAnsi="Arial" w:cs="Arial"/>
                <w:b/>
                <w:bCs/>
                <w:color w:val="FFFFFF"/>
                <w:kern w:val="24"/>
                <w:sz w:val="24"/>
                <w:szCs w:val="24"/>
                <w:lang w:eastAsia="en-GB"/>
              </w:rPr>
              <w:t>Activities    </w:t>
            </w:r>
          </w:p>
        </w:tc>
        <w:tc>
          <w:tcPr>
            <w:tcW w:w="4040" w:type="dxa"/>
            <w:tcBorders>
              <w:top w:val="single" w:sz="8" w:space="0" w:color="000000"/>
              <w:left w:val="single" w:sz="8" w:space="0" w:color="000000"/>
              <w:bottom w:val="single" w:sz="4" w:space="0" w:color="000000"/>
              <w:right w:val="single" w:sz="4" w:space="0" w:color="000000"/>
            </w:tcBorders>
            <w:shd w:val="clear" w:color="auto" w:fill="DDEBF7"/>
            <w:tcMar>
              <w:top w:w="15" w:type="dxa"/>
              <w:left w:w="15" w:type="dxa"/>
              <w:bottom w:w="0" w:type="dxa"/>
              <w:right w:w="15" w:type="dxa"/>
            </w:tcMar>
            <w:vAlign w:val="center"/>
            <w:hideMark/>
          </w:tcPr>
          <w:p w14:paraId="3592D1A2" w14:textId="77777777" w:rsidR="00D15E0C" w:rsidRPr="00D15E0C" w:rsidRDefault="00D15E0C" w:rsidP="00D15E0C">
            <w:pPr>
              <w:spacing w:before="0" w:after="0" w:line="240" w:lineRule="auto"/>
              <w:textAlignment w:val="center"/>
              <w:rPr>
                <w:rFonts w:ascii="Arial" w:eastAsia="Times New Roman" w:hAnsi="Arial" w:cs="Arial"/>
                <w:sz w:val="36"/>
                <w:szCs w:val="36"/>
                <w:lang w:eastAsia="en-GB"/>
              </w:rPr>
            </w:pPr>
            <w:r w:rsidRPr="00D15E0C">
              <w:rPr>
                <w:rFonts w:ascii="Arial" w:eastAsiaTheme="minorEastAsia" w:hAnsi="Arial" w:cs="Arial"/>
                <w:color w:val="000000" w:themeColor="text1"/>
                <w:kern w:val="24"/>
                <w:sz w:val="24"/>
                <w:szCs w:val="24"/>
                <w:lang w:eastAsia="en-GB"/>
              </w:rPr>
              <w:t>Values and Behaviours</w:t>
            </w:r>
          </w:p>
        </w:tc>
        <w:tc>
          <w:tcPr>
            <w:tcW w:w="3459" w:type="dxa"/>
            <w:tcBorders>
              <w:top w:val="single" w:sz="8" w:space="0" w:color="000000"/>
              <w:left w:val="single" w:sz="4" w:space="0" w:color="000000"/>
              <w:bottom w:val="single" w:sz="4" w:space="0" w:color="000000"/>
              <w:right w:val="single" w:sz="4" w:space="0" w:color="000000"/>
            </w:tcBorders>
            <w:shd w:val="clear" w:color="auto" w:fill="DDEBF7"/>
            <w:tcMar>
              <w:top w:w="15" w:type="dxa"/>
              <w:left w:w="15" w:type="dxa"/>
              <w:bottom w:w="0" w:type="dxa"/>
              <w:right w:w="15" w:type="dxa"/>
            </w:tcMar>
            <w:vAlign w:val="center"/>
            <w:hideMark/>
          </w:tcPr>
          <w:p w14:paraId="5C810F90" w14:textId="77777777" w:rsidR="00D15E0C" w:rsidRPr="00D15E0C" w:rsidRDefault="00D15E0C" w:rsidP="00D15E0C">
            <w:pPr>
              <w:spacing w:before="0" w:after="0" w:line="240" w:lineRule="auto"/>
              <w:textAlignment w:val="center"/>
              <w:rPr>
                <w:rFonts w:ascii="Arial" w:eastAsia="Times New Roman" w:hAnsi="Arial" w:cs="Arial"/>
                <w:sz w:val="36"/>
                <w:szCs w:val="36"/>
                <w:lang w:eastAsia="en-GB"/>
              </w:rPr>
            </w:pPr>
            <w:r w:rsidRPr="00D15E0C">
              <w:rPr>
                <w:rFonts w:ascii="Arial" w:eastAsia="Times New Roman" w:hAnsi="Arial" w:cs="Arial"/>
                <w:color w:val="000000"/>
                <w:kern w:val="24"/>
                <w:sz w:val="24"/>
                <w:szCs w:val="24"/>
                <w:lang w:eastAsia="en-GB"/>
              </w:rPr>
              <w:t>Richard Sydee</w:t>
            </w:r>
          </w:p>
        </w:tc>
        <w:tc>
          <w:tcPr>
            <w:tcW w:w="578" w:type="dxa"/>
            <w:tcBorders>
              <w:top w:val="single" w:sz="8" w:space="0" w:color="000000"/>
              <w:left w:val="single" w:sz="4" w:space="0" w:color="000000"/>
              <w:bottom w:val="single" w:sz="8" w:space="0" w:color="000000"/>
              <w:right w:val="single" w:sz="8" w:space="0" w:color="000000"/>
            </w:tcBorders>
            <w:shd w:val="clear" w:color="auto" w:fill="FF0000"/>
            <w:tcMar>
              <w:top w:w="15" w:type="dxa"/>
              <w:left w:w="15" w:type="dxa"/>
              <w:bottom w:w="0" w:type="dxa"/>
              <w:right w:w="15" w:type="dxa"/>
            </w:tcMar>
            <w:vAlign w:val="center"/>
            <w:hideMark/>
          </w:tcPr>
          <w:p w14:paraId="5E3EEDBD" w14:textId="77777777" w:rsidR="00D15E0C" w:rsidRPr="00D15E0C" w:rsidRDefault="00D15E0C" w:rsidP="00D15E0C">
            <w:pPr>
              <w:spacing w:before="0" w:after="0" w:line="240" w:lineRule="auto"/>
              <w:rPr>
                <w:rFonts w:ascii="Arial" w:eastAsia="Times New Roman" w:hAnsi="Arial" w:cs="Arial"/>
                <w:sz w:val="36"/>
                <w:szCs w:val="36"/>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14:paraId="2F33511D"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14:paraId="5EBB9D20"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14:paraId="5E87BB6D"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14:paraId="182E2688"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14:paraId="3D88F265"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3578" w:type="dxa"/>
            <w:tcBorders>
              <w:top w:val="single" w:sz="8" w:space="0" w:color="000000"/>
              <w:left w:val="single" w:sz="8" w:space="0" w:color="000000"/>
              <w:bottom w:val="single" w:sz="4" w:space="0" w:color="000000"/>
              <w:right w:val="single" w:sz="8" w:space="0" w:color="000000"/>
            </w:tcBorders>
            <w:shd w:val="clear" w:color="auto" w:fill="F5F4F7"/>
            <w:tcMar>
              <w:top w:w="15" w:type="dxa"/>
              <w:left w:w="15" w:type="dxa"/>
              <w:bottom w:w="0" w:type="dxa"/>
              <w:right w:w="15" w:type="dxa"/>
            </w:tcMar>
            <w:vAlign w:val="center"/>
            <w:hideMark/>
          </w:tcPr>
          <w:p w14:paraId="49C7CF01" w14:textId="77777777" w:rsidR="00D15E0C" w:rsidRPr="00D15E0C" w:rsidRDefault="00D15E0C" w:rsidP="00D15E0C">
            <w:pPr>
              <w:spacing w:before="0" w:after="0" w:line="240" w:lineRule="auto"/>
              <w:textAlignment w:val="center"/>
              <w:rPr>
                <w:rFonts w:ascii="Arial" w:eastAsia="Times New Roman" w:hAnsi="Arial" w:cs="Arial"/>
                <w:sz w:val="36"/>
                <w:szCs w:val="36"/>
                <w:lang w:eastAsia="en-GB"/>
              </w:rPr>
            </w:pPr>
            <w:r w:rsidRPr="00D15E0C">
              <w:rPr>
                <w:rFonts w:ascii="Arial" w:eastAsia="Times New Roman" w:hAnsi="Arial" w:cs="Arial"/>
                <w:color w:val="000000" w:themeColor="text1"/>
                <w:kern w:val="24"/>
                <w:sz w:val="24"/>
                <w:szCs w:val="24"/>
                <w:lang w:eastAsia="en-GB"/>
              </w:rPr>
              <w:t xml:space="preserve">Project </w:t>
            </w:r>
            <w:r w:rsidRPr="00D15E0C">
              <w:rPr>
                <w:rFonts w:ascii="Arial" w:eastAsia="Times New Roman" w:hAnsi="Arial" w:cs="Arial"/>
                <w:b/>
                <w:bCs/>
                <w:color w:val="000000" w:themeColor="text1"/>
                <w:kern w:val="24"/>
                <w:sz w:val="24"/>
                <w:szCs w:val="24"/>
                <w:lang w:eastAsia="en-GB"/>
              </w:rPr>
              <w:t>completed</w:t>
            </w:r>
          </w:p>
        </w:tc>
      </w:tr>
      <w:tr w:rsidR="0021239F" w:rsidRPr="00104633" w14:paraId="670E4D2E" w14:textId="77777777" w:rsidTr="00104633">
        <w:trPr>
          <w:trHeight w:val="567"/>
        </w:trPr>
        <w:tc>
          <w:tcPr>
            <w:tcW w:w="339" w:type="dxa"/>
            <w:vMerge/>
            <w:tcBorders>
              <w:top w:val="single" w:sz="8" w:space="0" w:color="000000"/>
              <w:left w:val="single" w:sz="8" w:space="0" w:color="000000"/>
              <w:bottom w:val="single" w:sz="8" w:space="0" w:color="000000"/>
              <w:right w:val="single" w:sz="8" w:space="0" w:color="000000"/>
            </w:tcBorders>
            <w:vAlign w:val="center"/>
            <w:hideMark/>
          </w:tcPr>
          <w:p w14:paraId="3E1513FD" w14:textId="77777777" w:rsidR="00D15E0C" w:rsidRPr="00D15E0C" w:rsidRDefault="00D15E0C" w:rsidP="00D15E0C">
            <w:pPr>
              <w:spacing w:before="0" w:after="0" w:line="240" w:lineRule="auto"/>
              <w:rPr>
                <w:rFonts w:ascii="Arial" w:eastAsia="Times New Roman" w:hAnsi="Arial" w:cs="Arial"/>
                <w:sz w:val="36"/>
                <w:szCs w:val="36"/>
                <w:lang w:eastAsia="en-GB"/>
              </w:rPr>
            </w:pPr>
          </w:p>
        </w:tc>
        <w:tc>
          <w:tcPr>
            <w:tcW w:w="4040" w:type="dxa"/>
            <w:tcBorders>
              <w:top w:val="single" w:sz="4" w:space="0" w:color="000000"/>
              <w:left w:val="single" w:sz="8" w:space="0" w:color="000000"/>
              <w:bottom w:val="single" w:sz="4" w:space="0" w:color="000000"/>
              <w:right w:val="single" w:sz="4" w:space="0" w:color="000000"/>
            </w:tcBorders>
            <w:shd w:val="clear" w:color="auto" w:fill="DDEBF7"/>
            <w:tcMar>
              <w:top w:w="15" w:type="dxa"/>
              <w:left w:w="15" w:type="dxa"/>
              <w:bottom w:w="0" w:type="dxa"/>
              <w:right w:w="15" w:type="dxa"/>
            </w:tcMar>
            <w:vAlign w:val="center"/>
            <w:hideMark/>
          </w:tcPr>
          <w:p w14:paraId="49AC9C96" w14:textId="77777777" w:rsidR="00D15E0C" w:rsidRPr="00D15E0C" w:rsidRDefault="00D15E0C" w:rsidP="00D15E0C">
            <w:pPr>
              <w:spacing w:before="0" w:after="0" w:line="240" w:lineRule="auto"/>
              <w:textAlignment w:val="center"/>
              <w:rPr>
                <w:rFonts w:ascii="Arial" w:eastAsia="Times New Roman" w:hAnsi="Arial" w:cs="Arial"/>
                <w:sz w:val="36"/>
                <w:szCs w:val="36"/>
                <w:lang w:eastAsia="en-GB"/>
              </w:rPr>
            </w:pPr>
            <w:r w:rsidRPr="00D15E0C">
              <w:rPr>
                <w:rFonts w:ascii="Arial" w:eastAsiaTheme="minorEastAsia" w:hAnsi="Arial" w:cs="Arial"/>
                <w:color w:val="000000" w:themeColor="text1"/>
                <w:kern w:val="24"/>
                <w:sz w:val="24"/>
                <w:szCs w:val="24"/>
                <w:lang w:eastAsia="en-GB"/>
              </w:rPr>
              <w:t>Independent Inquiry (Fuller)</w:t>
            </w:r>
          </w:p>
        </w:tc>
        <w:tc>
          <w:tcPr>
            <w:tcW w:w="3459" w:type="dxa"/>
            <w:tcBorders>
              <w:top w:val="single" w:sz="4" w:space="0" w:color="000000"/>
              <w:left w:val="single" w:sz="4" w:space="0" w:color="000000"/>
              <w:bottom w:val="single" w:sz="4" w:space="0" w:color="000000"/>
              <w:right w:val="single" w:sz="4" w:space="0" w:color="000000"/>
            </w:tcBorders>
            <w:shd w:val="clear" w:color="auto" w:fill="DDEBF7"/>
            <w:tcMar>
              <w:top w:w="15" w:type="dxa"/>
              <w:left w:w="15" w:type="dxa"/>
              <w:bottom w:w="0" w:type="dxa"/>
              <w:right w:w="15" w:type="dxa"/>
            </w:tcMar>
            <w:vAlign w:val="center"/>
            <w:hideMark/>
          </w:tcPr>
          <w:p w14:paraId="7E0011DC" w14:textId="77777777" w:rsidR="00D15E0C" w:rsidRPr="00D15E0C" w:rsidRDefault="00D15E0C" w:rsidP="00D15E0C">
            <w:pPr>
              <w:spacing w:before="0" w:after="0" w:line="240" w:lineRule="auto"/>
              <w:rPr>
                <w:rFonts w:ascii="Arial" w:eastAsia="Times New Roman" w:hAnsi="Arial" w:cs="Arial"/>
                <w:sz w:val="36"/>
                <w:szCs w:val="36"/>
                <w:lang w:eastAsia="en-GB"/>
              </w:rPr>
            </w:pPr>
            <w:r w:rsidRPr="00D15E0C">
              <w:rPr>
                <w:rFonts w:ascii="Arial" w:eastAsiaTheme="minorEastAsia" w:hAnsi="Arial" w:cs="Arial"/>
                <w:color w:val="000000" w:themeColor="text1"/>
                <w:kern w:val="24"/>
                <w:sz w:val="24"/>
                <w:szCs w:val="24"/>
                <w:lang w:eastAsia="en-GB"/>
              </w:rPr>
              <w:t>Nicolette Harrison</w:t>
            </w:r>
          </w:p>
        </w:tc>
        <w:tc>
          <w:tcPr>
            <w:tcW w:w="578" w:type="dxa"/>
            <w:tcBorders>
              <w:top w:val="single" w:sz="8" w:space="0" w:color="000000"/>
              <w:left w:val="single" w:sz="4" w:space="0" w:color="000000"/>
              <w:bottom w:val="single" w:sz="8" w:space="0" w:color="000000"/>
              <w:right w:val="single" w:sz="8" w:space="0" w:color="000000"/>
            </w:tcBorders>
            <w:shd w:val="clear" w:color="auto" w:fill="FFC000"/>
            <w:tcMar>
              <w:top w:w="15" w:type="dxa"/>
              <w:left w:w="15" w:type="dxa"/>
              <w:bottom w:w="0" w:type="dxa"/>
              <w:right w:w="15" w:type="dxa"/>
            </w:tcMar>
            <w:vAlign w:val="center"/>
            <w:hideMark/>
          </w:tcPr>
          <w:p w14:paraId="63BA3049" w14:textId="77777777" w:rsidR="00D15E0C" w:rsidRPr="00D15E0C" w:rsidRDefault="00D15E0C" w:rsidP="00D15E0C">
            <w:pPr>
              <w:spacing w:before="0" w:after="0" w:line="240" w:lineRule="auto"/>
              <w:rPr>
                <w:rFonts w:ascii="Arial" w:eastAsia="Times New Roman" w:hAnsi="Arial" w:cs="Arial"/>
                <w:sz w:val="36"/>
                <w:szCs w:val="36"/>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hideMark/>
          </w:tcPr>
          <w:p w14:paraId="78DB5B06"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hideMark/>
          </w:tcPr>
          <w:p w14:paraId="123FF4B6"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hideMark/>
          </w:tcPr>
          <w:p w14:paraId="3A9BA396"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hideMark/>
          </w:tcPr>
          <w:p w14:paraId="7FDF978A"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hideMark/>
          </w:tcPr>
          <w:p w14:paraId="3FC59879"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3578" w:type="dxa"/>
            <w:tcBorders>
              <w:top w:val="single" w:sz="4" w:space="0" w:color="000000"/>
              <w:left w:val="single" w:sz="8" w:space="0" w:color="000000"/>
              <w:bottom w:val="single" w:sz="4" w:space="0" w:color="000000"/>
              <w:right w:val="single" w:sz="8" w:space="0" w:color="000000"/>
            </w:tcBorders>
            <w:shd w:val="clear" w:color="auto" w:fill="F5F4F7"/>
            <w:tcMar>
              <w:top w:w="15" w:type="dxa"/>
              <w:left w:w="15" w:type="dxa"/>
              <w:bottom w:w="0" w:type="dxa"/>
              <w:right w:w="15" w:type="dxa"/>
            </w:tcMar>
            <w:vAlign w:val="center"/>
            <w:hideMark/>
          </w:tcPr>
          <w:p w14:paraId="1A771FDE" w14:textId="77777777" w:rsidR="00D15E0C" w:rsidRPr="00D15E0C" w:rsidRDefault="00D15E0C" w:rsidP="00D15E0C">
            <w:pPr>
              <w:spacing w:before="0" w:after="0" w:line="240" w:lineRule="auto"/>
              <w:rPr>
                <w:rFonts w:ascii="Arial" w:eastAsia="Times New Roman" w:hAnsi="Arial" w:cs="Arial"/>
                <w:sz w:val="36"/>
                <w:szCs w:val="36"/>
                <w:lang w:eastAsia="en-GB"/>
              </w:rPr>
            </w:pPr>
            <w:r w:rsidRPr="00D15E0C">
              <w:rPr>
                <w:rFonts w:ascii="Arial" w:eastAsiaTheme="minorEastAsia" w:hAnsi="Arial" w:cs="Arial"/>
                <w:color w:val="000000"/>
                <w:kern w:val="24"/>
                <w:sz w:val="24"/>
                <w:szCs w:val="24"/>
                <w:lang w:eastAsia="en-GB"/>
              </w:rPr>
              <w:t xml:space="preserve">Project </w:t>
            </w:r>
            <w:r w:rsidRPr="00D15E0C">
              <w:rPr>
                <w:rFonts w:ascii="Arial" w:eastAsiaTheme="minorEastAsia" w:hAnsi="Arial" w:cs="Arial"/>
                <w:b/>
                <w:bCs/>
                <w:color w:val="000000"/>
                <w:kern w:val="24"/>
                <w:sz w:val="24"/>
                <w:szCs w:val="24"/>
                <w:lang w:eastAsia="en-GB"/>
              </w:rPr>
              <w:t>continues</w:t>
            </w:r>
            <w:r w:rsidRPr="00D15E0C">
              <w:rPr>
                <w:rFonts w:ascii="Arial" w:eastAsiaTheme="minorEastAsia" w:hAnsi="Arial" w:cs="Arial"/>
                <w:color w:val="000000"/>
                <w:kern w:val="24"/>
                <w:sz w:val="24"/>
                <w:szCs w:val="24"/>
                <w:lang w:eastAsia="en-GB"/>
              </w:rPr>
              <w:t xml:space="preserve"> into 23/24</w:t>
            </w:r>
          </w:p>
        </w:tc>
      </w:tr>
      <w:tr w:rsidR="0021239F" w:rsidRPr="00104633" w14:paraId="58108C70" w14:textId="77777777" w:rsidTr="00104633">
        <w:trPr>
          <w:trHeight w:val="567"/>
        </w:trPr>
        <w:tc>
          <w:tcPr>
            <w:tcW w:w="339" w:type="dxa"/>
            <w:vMerge/>
            <w:tcBorders>
              <w:top w:val="single" w:sz="8" w:space="0" w:color="000000"/>
              <w:left w:val="single" w:sz="8" w:space="0" w:color="000000"/>
              <w:bottom w:val="single" w:sz="8" w:space="0" w:color="000000"/>
              <w:right w:val="single" w:sz="8" w:space="0" w:color="000000"/>
            </w:tcBorders>
            <w:vAlign w:val="center"/>
            <w:hideMark/>
          </w:tcPr>
          <w:p w14:paraId="2AB3CD22" w14:textId="77777777" w:rsidR="00D15E0C" w:rsidRPr="00D15E0C" w:rsidRDefault="00D15E0C" w:rsidP="00D15E0C">
            <w:pPr>
              <w:spacing w:before="0" w:after="0" w:line="240" w:lineRule="auto"/>
              <w:rPr>
                <w:rFonts w:ascii="Arial" w:eastAsia="Times New Roman" w:hAnsi="Arial" w:cs="Arial"/>
                <w:sz w:val="36"/>
                <w:szCs w:val="36"/>
                <w:lang w:eastAsia="en-GB"/>
              </w:rPr>
            </w:pPr>
          </w:p>
        </w:tc>
        <w:tc>
          <w:tcPr>
            <w:tcW w:w="4040" w:type="dxa"/>
            <w:tcBorders>
              <w:top w:val="single" w:sz="4" w:space="0" w:color="000000"/>
              <w:left w:val="single" w:sz="8" w:space="0" w:color="000000"/>
              <w:bottom w:val="single" w:sz="4" w:space="0" w:color="000000"/>
              <w:right w:val="single" w:sz="4" w:space="0" w:color="000000"/>
            </w:tcBorders>
            <w:shd w:val="clear" w:color="auto" w:fill="DDEBF7"/>
            <w:tcMar>
              <w:top w:w="15" w:type="dxa"/>
              <w:left w:w="15" w:type="dxa"/>
              <w:bottom w:w="0" w:type="dxa"/>
              <w:right w:w="15" w:type="dxa"/>
            </w:tcMar>
            <w:vAlign w:val="center"/>
            <w:hideMark/>
          </w:tcPr>
          <w:p w14:paraId="4ED148A6" w14:textId="77777777" w:rsidR="00D15E0C" w:rsidRPr="00D15E0C" w:rsidRDefault="00D15E0C" w:rsidP="00D15E0C">
            <w:pPr>
              <w:spacing w:before="0" w:after="0" w:line="240" w:lineRule="auto"/>
              <w:textAlignment w:val="center"/>
              <w:rPr>
                <w:rFonts w:ascii="Arial" w:eastAsia="Times New Roman" w:hAnsi="Arial" w:cs="Arial"/>
                <w:sz w:val="36"/>
                <w:szCs w:val="36"/>
                <w:lang w:eastAsia="en-GB"/>
              </w:rPr>
            </w:pPr>
            <w:r w:rsidRPr="00D15E0C">
              <w:rPr>
                <w:rFonts w:ascii="Arial" w:eastAsiaTheme="minorEastAsia" w:hAnsi="Arial" w:cs="Arial"/>
                <w:color w:val="000000" w:themeColor="text1"/>
                <w:kern w:val="24"/>
                <w:sz w:val="24"/>
                <w:szCs w:val="24"/>
                <w:lang w:eastAsia="en-GB"/>
              </w:rPr>
              <w:t>Deemed Consent in NI</w:t>
            </w:r>
          </w:p>
        </w:tc>
        <w:tc>
          <w:tcPr>
            <w:tcW w:w="3459" w:type="dxa"/>
            <w:tcBorders>
              <w:top w:val="single" w:sz="4" w:space="0" w:color="000000"/>
              <w:left w:val="single" w:sz="4" w:space="0" w:color="000000"/>
              <w:bottom w:val="single" w:sz="4" w:space="0" w:color="000000"/>
              <w:right w:val="single" w:sz="4" w:space="0" w:color="000000"/>
            </w:tcBorders>
            <w:shd w:val="clear" w:color="auto" w:fill="DDEBF7"/>
            <w:tcMar>
              <w:top w:w="15" w:type="dxa"/>
              <w:left w:w="15" w:type="dxa"/>
              <w:bottom w:w="0" w:type="dxa"/>
              <w:right w:w="15" w:type="dxa"/>
            </w:tcMar>
            <w:vAlign w:val="center"/>
            <w:hideMark/>
          </w:tcPr>
          <w:p w14:paraId="4DDCE417" w14:textId="77777777" w:rsidR="00D15E0C" w:rsidRPr="00D15E0C" w:rsidRDefault="00D15E0C" w:rsidP="00D15E0C">
            <w:pPr>
              <w:spacing w:before="0" w:after="0" w:line="240" w:lineRule="auto"/>
              <w:textAlignment w:val="center"/>
              <w:rPr>
                <w:rFonts w:ascii="Arial" w:eastAsia="Times New Roman" w:hAnsi="Arial" w:cs="Arial"/>
                <w:sz w:val="36"/>
                <w:szCs w:val="36"/>
                <w:lang w:eastAsia="en-GB"/>
              </w:rPr>
            </w:pPr>
            <w:r w:rsidRPr="00D15E0C">
              <w:rPr>
                <w:rFonts w:ascii="Arial" w:eastAsia="Times New Roman" w:hAnsi="Arial" w:cs="Arial"/>
                <w:color w:val="000000"/>
                <w:kern w:val="24"/>
                <w:sz w:val="24"/>
                <w:szCs w:val="24"/>
                <w:lang w:eastAsia="en-GB"/>
              </w:rPr>
              <w:t>Louise Dineley</w:t>
            </w:r>
          </w:p>
        </w:tc>
        <w:tc>
          <w:tcPr>
            <w:tcW w:w="578" w:type="dxa"/>
            <w:tcBorders>
              <w:top w:val="single" w:sz="8" w:space="0" w:color="000000"/>
              <w:left w:val="single" w:sz="4" w:space="0" w:color="000000"/>
              <w:bottom w:val="single" w:sz="8" w:space="0" w:color="000000"/>
              <w:right w:val="single" w:sz="8" w:space="0" w:color="000000"/>
            </w:tcBorders>
            <w:shd w:val="clear" w:color="auto" w:fill="FFC000"/>
            <w:tcMar>
              <w:top w:w="15" w:type="dxa"/>
              <w:left w:w="15" w:type="dxa"/>
              <w:bottom w:w="0" w:type="dxa"/>
              <w:right w:w="15" w:type="dxa"/>
            </w:tcMar>
            <w:vAlign w:val="center"/>
            <w:hideMark/>
          </w:tcPr>
          <w:p w14:paraId="2E2733C1" w14:textId="77777777" w:rsidR="00D15E0C" w:rsidRPr="00D15E0C" w:rsidRDefault="00D15E0C" w:rsidP="00D15E0C">
            <w:pPr>
              <w:spacing w:before="0" w:after="0" w:line="240" w:lineRule="auto"/>
              <w:rPr>
                <w:rFonts w:ascii="Arial" w:eastAsia="Times New Roman" w:hAnsi="Arial" w:cs="Arial"/>
                <w:sz w:val="36"/>
                <w:szCs w:val="36"/>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hideMark/>
          </w:tcPr>
          <w:p w14:paraId="30F92E15"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14:paraId="6269B398"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14:paraId="0C1BB181"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14:paraId="1D7548D4"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14:paraId="3777B1E0"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3578" w:type="dxa"/>
            <w:tcBorders>
              <w:top w:val="single" w:sz="4" w:space="0" w:color="000000"/>
              <w:left w:val="single" w:sz="8" w:space="0" w:color="000000"/>
              <w:bottom w:val="single" w:sz="4" w:space="0" w:color="000000"/>
              <w:right w:val="single" w:sz="8" w:space="0" w:color="000000"/>
            </w:tcBorders>
            <w:shd w:val="clear" w:color="auto" w:fill="F5F4F7"/>
            <w:tcMar>
              <w:top w:w="15" w:type="dxa"/>
              <w:left w:w="15" w:type="dxa"/>
              <w:bottom w:w="0" w:type="dxa"/>
              <w:right w:w="15" w:type="dxa"/>
            </w:tcMar>
            <w:vAlign w:val="center"/>
            <w:hideMark/>
          </w:tcPr>
          <w:p w14:paraId="05EFB572" w14:textId="77777777" w:rsidR="00D15E0C" w:rsidRPr="00D15E0C" w:rsidRDefault="00D15E0C" w:rsidP="00D15E0C">
            <w:pPr>
              <w:spacing w:before="0" w:after="0" w:line="240" w:lineRule="auto"/>
              <w:textAlignment w:val="center"/>
              <w:rPr>
                <w:rFonts w:ascii="Arial" w:eastAsia="Times New Roman" w:hAnsi="Arial" w:cs="Arial"/>
                <w:sz w:val="36"/>
                <w:szCs w:val="36"/>
                <w:lang w:eastAsia="en-GB"/>
              </w:rPr>
            </w:pPr>
            <w:r w:rsidRPr="00D15E0C">
              <w:rPr>
                <w:rFonts w:ascii="Arial" w:eastAsia="Times New Roman" w:hAnsi="Arial" w:cs="Arial"/>
                <w:color w:val="000000" w:themeColor="text1"/>
                <w:kern w:val="24"/>
                <w:sz w:val="24"/>
                <w:szCs w:val="24"/>
                <w:lang w:eastAsia="en-GB"/>
              </w:rPr>
              <w:t xml:space="preserve">Project </w:t>
            </w:r>
            <w:r w:rsidRPr="00D15E0C">
              <w:rPr>
                <w:rFonts w:ascii="Arial" w:eastAsia="Times New Roman" w:hAnsi="Arial" w:cs="Arial"/>
                <w:b/>
                <w:bCs/>
                <w:color w:val="000000" w:themeColor="text1"/>
                <w:kern w:val="24"/>
                <w:sz w:val="24"/>
                <w:szCs w:val="24"/>
                <w:lang w:eastAsia="en-GB"/>
              </w:rPr>
              <w:t>completed</w:t>
            </w:r>
          </w:p>
        </w:tc>
      </w:tr>
      <w:tr w:rsidR="0021239F" w:rsidRPr="00104633" w14:paraId="7971BA16" w14:textId="77777777" w:rsidTr="00104633">
        <w:trPr>
          <w:trHeight w:val="567"/>
        </w:trPr>
        <w:tc>
          <w:tcPr>
            <w:tcW w:w="339" w:type="dxa"/>
            <w:vMerge/>
            <w:tcBorders>
              <w:top w:val="single" w:sz="8" w:space="0" w:color="000000"/>
              <w:left w:val="single" w:sz="8" w:space="0" w:color="000000"/>
              <w:bottom w:val="single" w:sz="8" w:space="0" w:color="000000"/>
              <w:right w:val="single" w:sz="8" w:space="0" w:color="000000"/>
            </w:tcBorders>
            <w:vAlign w:val="center"/>
            <w:hideMark/>
          </w:tcPr>
          <w:p w14:paraId="0DE87D1B" w14:textId="77777777" w:rsidR="00D15E0C" w:rsidRPr="00D15E0C" w:rsidRDefault="00D15E0C" w:rsidP="00D15E0C">
            <w:pPr>
              <w:spacing w:before="0" w:after="0" w:line="240" w:lineRule="auto"/>
              <w:rPr>
                <w:rFonts w:ascii="Arial" w:eastAsia="Times New Roman" w:hAnsi="Arial" w:cs="Arial"/>
                <w:sz w:val="36"/>
                <w:szCs w:val="36"/>
                <w:lang w:eastAsia="en-GB"/>
              </w:rPr>
            </w:pPr>
          </w:p>
        </w:tc>
        <w:tc>
          <w:tcPr>
            <w:tcW w:w="4040" w:type="dxa"/>
            <w:tcBorders>
              <w:top w:val="single" w:sz="4" w:space="0" w:color="000000"/>
              <w:left w:val="single" w:sz="8" w:space="0" w:color="000000"/>
              <w:bottom w:val="single" w:sz="4" w:space="0" w:color="000000"/>
              <w:right w:val="single" w:sz="4" w:space="0" w:color="000000"/>
            </w:tcBorders>
            <w:shd w:val="clear" w:color="auto" w:fill="DDEBF7"/>
            <w:tcMar>
              <w:top w:w="15" w:type="dxa"/>
              <w:left w:w="15" w:type="dxa"/>
              <w:bottom w:w="0" w:type="dxa"/>
              <w:right w:w="15" w:type="dxa"/>
            </w:tcMar>
            <w:vAlign w:val="center"/>
            <w:hideMark/>
          </w:tcPr>
          <w:p w14:paraId="2B14352C" w14:textId="77777777" w:rsidR="00D15E0C" w:rsidRPr="00D15E0C" w:rsidRDefault="00D15E0C" w:rsidP="00D15E0C">
            <w:pPr>
              <w:spacing w:before="0" w:after="0" w:line="240" w:lineRule="auto"/>
              <w:rPr>
                <w:rFonts w:ascii="Arial" w:eastAsia="Times New Roman" w:hAnsi="Arial" w:cs="Arial"/>
                <w:sz w:val="36"/>
                <w:szCs w:val="36"/>
                <w:lang w:eastAsia="en-GB"/>
              </w:rPr>
            </w:pPr>
            <w:r w:rsidRPr="00D15E0C">
              <w:rPr>
                <w:rFonts w:ascii="Arial" w:eastAsiaTheme="minorEastAsia" w:hAnsi="Arial" w:cs="Arial"/>
                <w:color w:val="000000" w:themeColor="text1"/>
                <w:kern w:val="24"/>
                <w:sz w:val="24"/>
                <w:szCs w:val="24"/>
                <w:lang w:eastAsia="en-GB"/>
              </w:rPr>
              <w:t>Compliance updates</w:t>
            </w:r>
          </w:p>
        </w:tc>
        <w:tc>
          <w:tcPr>
            <w:tcW w:w="3459" w:type="dxa"/>
            <w:tcBorders>
              <w:top w:val="single" w:sz="4" w:space="0" w:color="000000"/>
              <w:left w:val="single" w:sz="4" w:space="0" w:color="000000"/>
              <w:bottom w:val="single" w:sz="4" w:space="0" w:color="000000"/>
              <w:right w:val="single" w:sz="4" w:space="0" w:color="000000"/>
            </w:tcBorders>
            <w:shd w:val="clear" w:color="auto" w:fill="DDEBF7"/>
            <w:tcMar>
              <w:top w:w="15" w:type="dxa"/>
              <w:left w:w="15" w:type="dxa"/>
              <w:bottom w:w="0" w:type="dxa"/>
              <w:right w:w="15" w:type="dxa"/>
            </w:tcMar>
            <w:vAlign w:val="center"/>
            <w:hideMark/>
          </w:tcPr>
          <w:p w14:paraId="4148B3F3" w14:textId="77777777" w:rsidR="00D15E0C" w:rsidRPr="00D15E0C" w:rsidRDefault="00D15E0C" w:rsidP="00D15E0C">
            <w:pPr>
              <w:spacing w:before="0" w:after="0" w:line="240" w:lineRule="auto"/>
              <w:rPr>
                <w:rFonts w:ascii="Arial" w:eastAsia="Times New Roman" w:hAnsi="Arial" w:cs="Arial"/>
                <w:sz w:val="36"/>
                <w:szCs w:val="36"/>
                <w:lang w:eastAsia="en-GB"/>
              </w:rPr>
            </w:pPr>
            <w:r w:rsidRPr="00D15E0C">
              <w:rPr>
                <w:rFonts w:ascii="Arial" w:eastAsiaTheme="minorEastAsia" w:hAnsi="Arial" w:cs="Arial"/>
                <w:color w:val="000000" w:themeColor="text1"/>
                <w:kern w:val="24"/>
                <w:sz w:val="24"/>
                <w:szCs w:val="24"/>
                <w:lang w:eastAsia="en-GB"/>
              </w:rPr>
              <w:t>Nicolette Harrison</w:t>
            </w:r>
          </w:p>
        </w:tc>
        <w:tc>
          <w:tcPr>
            <w:tcW w:w="578" w:type="dxa"/>
            <w:tcBorders>
              <w:top w:val="single" w:sz="8" w:space="0" w:color="000000"/>
              <w:left w:val="single" w:sz="4" w:space="0" w:color="000000"/>
              <w:bottom w:val="single" w:sz="8" w:space="0" w:color="000000"/>
              <w:right w:val="single" w:sz="8" w:space="0" w:color="000000"/>
            </w:tcBorders>
            <w:shd w:val="clear" w:color="auto" w:fill="FF0000"/>
            <w:tcMar>
              <w:top w:w="15" w:type="dxa"/>
              <w:left w:w="15" w:type="dxa"/>
              <w:bottom w:w="0" w:type="dxa"/>
              <w:right w:w="15" w:type="dxa"/>
            </w:tcMar>
            <w:vAlign w:val="center"/>
            <w:hideMark/>
          </w:tcPr>
          <w:p w14:paraId="1D2C3863" w14:textId="77777777" w:rsidR="00D15E0C" w:rsidRPr="00D15E0C" w:rsidRDefault="00D15E0C" w:rsidP="00D15E0C">
            <w:pPr>
              <w:spacing w:before="0" w:after="0" w:line="240" w:lineRule="auto"/>
              <w:rPr>
                <w:rFonts w:ascii="Arial" w:eastAsia="Times New Roman" w:hAnsi="Arial" w:cs="Arial"/>
                <w:sz w:val="36"/>
                <w:szCs w:val="36"/>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FF0000"/>
            <w:tcMar>
              <w:top w:w="15" w:type="dxa"/>
              <w:left w:w="15" w:type="dxa"/>
              <w:bottom w:w="0" w:type="dxa"/>
              <w:right w:w="15" w:type="dxa"/>
            </w:tcMar>
            <w:vAlign w:val="center"/>
            <w:hideMark/>
          </w:tcPr>
          <w:p w14:paraId="447BEFE7"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FF0000"/>
            <w:tcMar>
              <w:top w:w="15" w:type="dxa"/>
              <w:left w:w="15" w:type="dxa"/>
              <w:bottom w:w="0" w:type="dxa"/>
              <w:right w:w="15" w:type="dxa"/>
            </w:tcMar>
            <w:vAlign w:val="center"/>
            <w:hideMark/>
          </w:tcPr>
          <w:p w14:paraId="61AF44C3"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FF0000"/>
            <w:tcMar>
              <w:top w:w="15" w:type="dxa"/>
              <w:left w:w="15" w:type="dxa"/>
              <w:bottom w:w="0" w:type="dxa"/>
              <w:right w:w="15" w:type="dxa"/>
            </w:tcMar>
            <w:vAlign w:val="center"/>
            <w:hideMark/>
          </w:tcPr>
          <w:p w14:paraId="1BEDD07F"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FF0000"/>
            <w:tcMar>
              <w:top w:w="15" w:type="dxa"/>
              <w:left w:w="15" w:type="dxa"/>
              <w:bottom w:w="0" w:type="dxa"/>
              <w:right w:w="15" w:type="dxa"/>
            </w:tcMar>
            <w:vAlign w:val="center"/>
            <w:hideMark/>
          </w:tcPr>
          <w:p w14:paraId="0D6461F2"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FF0000"/>
            <w:tcMar>
              <w:top w:w="15" w:type="dxa"/>
              <w:left w:w="15" w:type="dxa"/>
              <w:bottom w:w="0" w:type="dxa"/>
              <w:right w:w="15" w:type="dxa"/>
            </w:tcMar>
            <w:vAlign w:val="center"/>
            <w:hideMark/>
          </w:tcPr>
          <w:p w14:paraId="5F0E312B"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3578" w:type="dxa"/>
            <w:tcBorders>
              <w:top w:val="single" w:sz="4" w:space="0" w:color="000000"/>
              <w:left w:val="single" w:sz="8" w:space="0" w:color="000000"/>
              <w:bottom w:val="single" w:sz="4" w:space="0" w:color="000000"/>
              <w:right w:val="single" w:sz="8" w:space="0" w:color="000000"/>
            </w:tcBorders>
            <w:shd w:val="clear" w:color="auto" w:fill="F5F4F7"/>
            <w:tcMar>
              <w:top w:w="15" w:type="dxa"/>
              <w:left w:w="15" w:type="dxa"/>
              <w:bottom w:w="0" w:type="dxa"/>
              <w:right w:w="15" w:type="dxa"/>
            </w:tcMar>
            <w:vAlign w:val="center"/>
            <w:hideMark/>
          </w:tcPr>
          <w:p w14:paraId="3E811790" w14:textId="77777777" w:rsidR="00D15E0C" w:rsidRPr="00D15E0C" w:rsidRDefault="00D15E0C" w:rsidP="00D15E0C">
            <w:pPr>
              <w:spacing w:before="0" w:after="0" w:line="240" w:lineRule="auto"/>
              <w:rPr>
                <w:rFonts w:ascii="Arial" w:eastAsia="Times New Roman" w:hAnsi="Arial" w:cs="Arial"/>
                <w:sz w:val="36"/>
                <w:szCs w:val="36"/>
                <w:lang w:eastAsia="en-GB"/>
              </w:rPr>
            </w:pPr>
            <w:r w:rsidRPr="00D15E0C">
              <w:rPr>
                <w:rFonts w:ascii="Arial" w:eastAsiaTheme="minorEastAsia" w:hAnsi="Arial" w:cs="Arial"/>
                <w:color w:val="000000"/>
                <w:kern w:val="24"/>
                <w:sz w:val="24"/>
                <w:szCs w:val="24"/>
                <w:lang w:eastAsia="en-GB"/>
              </w:rPr>
              <w:t xml:space="preserve">Project </w:t>
            </w:r>
            <w:r w:rsidRPr="00D15E0C">
              <w:rPr>
                <w:rFonts w:ascii="Arial" w:eastAsiaTheme="minorEastAsia" w:hAnsi="Arial" w:cs="Arial"/>
                <w:b/>
                <w:bCs/>
                <w:color w:val="000000"/>
                <w:kern w:val="24"/>
                <w:sz w:val="24"/>
                <w:szCs w:val="24"/>
                <w:lang w:eastAsia="en-GB"/>
              </w:rPr>
              <w:t>continues</w:t>
            </w:r>
            <w:r w:rsidRPr="00D15E0C">
              <w:rPr>
                <w:rFonts w:ascii="Arial" w:eastAsiaTheme="minorEastAsia" w:hAnsi="Arial" w:cs="Arial"/>
                <w:color w:val="000000"/>
                <w:kern w:val="24"/>
                <w:sz w:val="24"/>
                <w:szCs w:val="24"/>
                <w:lang w:eastAsia="en-GB"/>
              </w:rPr>
              <w:t xml:space="preserve"> into 23/24</w:t>
            </w:r>
          </w:p>
        </w:tc>
      </w:tr>
      <w:tr w:rsidR="0021239F" w:rsidRPr="00104633" w14:paraId="034B0EB2" w14:textId="77777777" w:rsidTr="00104633">
        <w:trPr>
          <w:trHeight w:val="567"/>
        </w:trPr>
        <w:tc>
          <w:tcPr>
            <w:tcW w:w="339" w:type="dxa"/>
            <w:vMerge/>
            <w:tcBorders>
              <w:top w:val="single" w:sz="8" w:space="0" w:color="000000"/>
              <w:left w:val="single" w:sz="8" w:space="0" w:color="000000"/>
              <w:bottom w:val="single" w:sz="8" w:space="0" w:color="000000"/>
              <w:right w:val="single" w:sz="8" w:space="0" w:color="000000"/>
            </w:tcBorders>
            <w:vAlign w:val="center"/>
            <w:hideMark/>
          </w:tcPr>
          <w:p w14:paraId="1AFCE8D6" w14:textId="77777777" w:rsidR="00D15E0C" w:rsidRPr="00D15E0C" w:rsidRDefault="00D15E0C" w:rsidP="00D15E0C">
            <w:pPr>
              <w:spacing w:before="0" w:after="0" w:line="240" w:lineRule="auto"/>
              <w:rPr>
                <w:rFonts w:ascii="Arial" w:eastAsia="Times New Roman" w:hAnsi="Arial" w:cs="Arial"/>
                <w:sz w:val="36"/>
                <w:szCs w:val="36"/>
                <w:lang w:eastAsia="en-GB"/>
              </w:rPr>
            </w:pPr>
          </w:p>
        </w:tc>
        <w:tc>
          <w:tcPr>
            <w:tcW w:w="4040" w:type="dxa"/>
            <w:tcBorders>
              <w:top w:val="single" w:sz="4" w:space="0" w:color="000000"/>
              <w:left w:val="single" w:sz="8" w:space="0" w:color="000000"/>
              <w:bottom w:val="single" w:sz="4" w:space="0" w:color="000000"/>
              <w:right w:val="single" w:sz="4" w:space="0" w:color="000000"/>
            </w:tcBorders>
            <w:shd w:val="clear" w:color="auto" w:fill="DDEBF7"/>
            <w:tcMar>
              <w:top w:w="15" w:type="dxa"/>
              <w:left w:w="15" w:type="dxa"/>
              <w:bottom w:w="0" w:type="dxa"/>
              <w:right w:w="15" w:type="dxa"/>
            </w:tcMar>
            <w:vAlign w:val="center"/>
            <w:hideMark/>
          </w:tcPr>
          <w:p w14:paraId="737D238B" w14:textId="77777777" w:rsidR="00D15E0C" w:rsidRPr="00D15E0C" w:rsidRDefault="00D15E0C" w:rsidP="00D15E0C">
            <w:pPr>
              <w:spacing w:before="0" w:after="0" w:line="240" w:lineRule="auto"/>
              <w:textAlignment w:val="center"/>
              <w:rPr>
                <w:rFonts w:ascii="Arial" w:eastAsia="Times New Roman" w:hAnsi="Arial" w:cs="Arial"/>
                <w:sz w:val="36"/>
                <w:szCs w:val="36"/>
                <w:lang w:eastAsia="en-GB"/>
              </w:rPr>
            </w:pPr>
            <w:r w:rsidRPr="00D15E0C">
              <w:rPr>
                <w:rFonts w:ascii="Arial" w:eastAsiaTheme="minorEastAsia" w:hAnsi="Arial" w:cs="Arial"/>
                <w:color w:val="000000" w:themeColor="text1"/>
                <w:kern w:val="24"/>
                <w:sz w:val="24"/>
                <w:szCs w:val="24"/>
                <w:lang w:eastAsia="en-GB"/>
              </w:rPr>
              <w:t>Communications Strategy</w:t>
            </w:r>
          </w:p>
        </w:tc>
        <w:tc>
          <w:tcPr>
            <w:tcW w:w="3459" w:type="dxa"/>
            <w:tcBorders>
              <w:top w:val="single" w:sz="4" w:space="0" w:color="000000"/>
              <w:left w:val="single" w:sz="4" w:space="0" w:color="000000"/>
              <w:bottom w:val="single" w:sz="4" w:space="0" w:color="000000"/>
              <w:right w:val="single" w:sz="4" w:space="0" w:color="000000"/>
            </w:tcBorders>
            <w:shd w:val="clear" w:color="auto" w:fill="DDEBF7"/>
            <w:tcMar>
              <w:top w:w="15" w:type="dxa"/>
              <w:left w:w="15" w:type="dxa"/>
              <w:bottom w:w="0" w:type="dxa"/>
              <w:right w:w="15" w:type="dxa"/>
            </w:tcMar>
            <w:vAlign w:val="center"/>
            <w:hideMark/>
          </w:tcPr>
          <w:p w14:paraId="22C9887B" w14:textId="77777777" w:rsidR="00D15E0C" w:rsidRPr="00D15E0C" w:rsidRDefault="00D15E0C" w:rsidP="00D15E0C">
            <w:pPr>
              <w:spacing w:before="0" w:after="0" w:line="240" w:lineRule="auto"/>
              <w:textAlignment w:val="center"/>
              <w:rPr>
                <w:rFonts w:ascii="Arial" w:eastAsia="Times New Roman" w:hAnsi="Arial" w:cs="Arial"/>
                <w:sz w:val="36"/>
                <w:szCs w:val="36"/>
                <w:lang w:eastAsia="en-GB"/>
              </w:rPr>
            </w:pPr>
            <w:r w:rsidRPr="00D15E0C">
              <w:rPr>
                <w:rFonts w:ascii="Arial" w:eastAsia="Times New Roman" w:hAnsi="Arial" w:cs="Arial"/>
                <w:color w:val="000000"/>
                <w:kern w:val="24"/>
                <w:sz w:val="24"/>
                <w:szCs w:val="24"/>
                <w:lang w:eastAsia="en-GB"/>
              </w:rPr>
              <w:t>Louise Dineley</w:t>
            </w:r>
          </w:p>
        </w:tc>
        <w:tc>
          <w:tcPr>
            <w:tcW w:w="578" w:type="dxa"/>
            <w:tcBorders>
              <w:top w:val="single" w:sz="8" w:space="0" w:color="000000"/>
              <w:left w:val="single" w:sz="4"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14:paraId="28858943" w14:textId="77777777" w:rsidR="00D15E0C" w:rsidRPr="00D15E0C" w:rsidRDefault="00D15E0C" w:rsidP="00D15E0C">
            <w:pPr>
              <w:spacing w:before="0" w:after="0" w:line="240" w:lineRule="auto"/>
              <w:rPr>
                <w:rFonts w:ascii="Arial" w:eastAsia="Times New Roman" w:hAnsi="Arial" w:cs="Arial"/>
                <w:sz w:val="36"/>
                <w:szCs w:val="36"/>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14:paraId="25EF9A1F"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14:paraId="73F85560"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14:paraId="18F033F8"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14:paraId="520680BE"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14:paraId="5E85D615"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3578" w:type="dxa"/>
            <w:tcBorders>
              <w:top w:val="single" w:sz="4" w:space="0" w:color="000000"/>
              <w:left w:val="single" w:sz="8" w:space="0" w:color="000000"/>
              <w:bottom w:val="single" w:sz="4" w:space="0" w:color="000000"/>
              <w:right w:val="single" w:sz="8" w:space="0" w:color="000000"/>
            </w:tcBorders>
            <w:shd w:val="clear" w:color="auto" w:fill="F5F4F7"/>
            <w:tcMar>
              <w:top w:w="15" w:type="dxa"/>
              <w:left w:w="15" w:type="dxa"/>
              <w:bottom w:w="0" w:type="dxa"/>
              <w:right w:w="15" w:type="dxa"/>
            </w:tcMar>
            <w:vAlign w:val="center"/>
            <w:hideMark/>
          </w:tcPr>
          <w:p w14:paraId="4F72D465" w14:textId="77777777" w:rsidR="00D15E0C" w:rsidRPr="00D15E0C" w:rsidRDefault="00D15E0C" w:rsidP="00D15E0C">
            <w:pPr>
              <w:spacing w:before="0" w:after="0" w:line="240" w:lineRule="auto"/>
              <w:textAlignment w:val="center"/>
              <w:rPr>
                <w:rFonts w:ascii="Arial" w:eastAsia="Times New Roman" w:hAnsi="Arial" w:cs="Arial"/>
                <w:sz w:val="36"/>
                <w:szCs w:val="36"/>
                <w:lang w:eastAsia="en-GB"/>
              </w:rPr>
            </w:pPr>
            <w:r w:rsidRPr="00D15E0C">
              <w:rPr>
                <w:rFonts w:ascii="Arial" w:eastAsia="Times New Roman" w:hAnsi="Arial" w:cs="Arial"/>
                <w:color w:val="000000" w:themeColor="text1"/>
                <w:kern w:val="24"/>
                <w:sz w:val="24"/>
                <w:szCs w:val="24"/>
                <w:lang w:eastAsia="en-GB"/>
              </w:rPr>
              <w:t xml:space="preserve">Project </w:t>
            </w:r>
            <w:r w:rsidRPr="00D15E0C">
              <w:rPr>
                <w:rFonts w:ascii="Arial" w:eastAsia="Times New Roman" w:hAnsi="Arial" w:cs="Arial"/>
                <w:b/>
                <w:bCs/>
                <w:color w:val="000000" w:themeColor="text1"/>
                <w:kern w:val="24"/>
                <w:sz w:val="24"/>
                <w:szCs w:val="24"/>
                <w:lang w:eastAsia="en-GB"/>
              </w:rPr>
              <w:t>completed</w:t>
            </w:r>
          </w:p>
        </w:tc>
      </w:tr>
      <w:tr w:rsidR="0021239F" w:rsidRPr="00104633" w14:paraId="08730310" w14:textId="77777777" w:rsidTr="00104633">
        <w:trPr>
          <w:trHeight w:val="567"/>
        </w:trPr>
        <w:tc>
          <w:tcPr>
            <w:tcW w:w="339" w:type="dxa"/>
            <w:vMerge/>
            <w:tcBorders>
              <w:top w:val="single" w:sz="8" w:space="0" w:color="000000"/>
              <w:left w:val="single" w:sz="8" w:space="0" w:color="000000"/>
              <w:bottom w:val="single" w:sz="8" w:space="0" w:color="000000"/>
              <w:right w:val="single" w:sz="8" w:space="0" w:color="000000"/>
            </w:tcBorders>
            <w:vAlign w:val="center"/>
            <w:hideMark/>
          </w:tcPr>
          <w:p w14:paraId="717F7AA2" w14:textId="77777777" w:rsidR="00D15E0C" w:rsidRPr="00D15E0C" w:rsidRDefault="00D15E0C" w:rsidP="00D15E0C">
            <w:pPr>
              <w:spacing w:before="0" w:after="0" w:line="240" w:lineRule="auto"/>
              <w:rPr>
                <w:rFonts w:ascii="Arial" w:eastAsia="Times New Roman" w:hAnsi="Arial" w:cs="Arial"/>
                <w:sz w:val="36"/>
                <w:szCs w:val="36"/>
                <w:lang w:eastAsia="en-GB"/>
              </w:rPr>
            </w:pPr>
          </w:p>
        </w:tc>
        <w:tc>
          <w:tcPr>
            <w:tcW w:w="4040" w:type="dxa"/>
            <w:tcBorders>
              <w:top w:val="single" w:sz="4" w:space="0" w:color="000000"/>
              <w:left w:val="single" w:sz="8" w:space="0" w:color="000000"/>
              <w:bottom w:val="single" w:sz="4" w:space="0" w:color="000000"/>
              <w:right w:val="single" w:sz="4" w:space="0" w:color="000000"/>
            </w:tcBorders>
            <w:shd w:val="clear" w:color="auto" w:fill="DDEBF7"/>
            <w:tcMar>
              <w:top w:w="15" w:type="dxa"/>
              <w:left w:w="15" w:type="dxa"/>
              <w:bottom w:w="0" w:type="dxa"/>
              <w:right w:w="15" w:type="dxa"/>
            </w:tcMar>
            <w:vAlign w:val="center"/>
            <w:hideMark/>
          </w:tcPr>
          <w:p w14:paraId="42908CFE" w14:textId="77777777" w:rsidR="00D15E0C" w:rsidRPr="00D15E0C" w:rsidRDefault="00D15E0C" w:rsidP="00D15E0C">
            <w:pPr>
              <w:spacing w:before="0" w:after="0" w:line="240" w:lineRule="auto"/>
              <w:textAlignment w:val="center"/>
              <w:rPr>
                <w:rFonts w:ascii="Arial" w:eastAsia="Times New Roman" w:hAnsi="Arial" w:cs="Arial"/>
                <w:sz w:val="36"/>
                <w:szCs w:val="36"/>
                <w:lang w:eastAsia="en-GB"/>
              </w:rPr>
            </w:pPr>
            <w:r w:rsidRPr="00D15E0C">
              <w:rPr>
                <w:rFonts w:ascii="Arial" w:eastAsiaTheme="minorEastAsia" w:hAnsi="Arial" w:cs="Arial"/>
                <w:color w:val="000000" w:themeColor="text1"/>
                <w:kern w:val="24"/>
                <w:sz w:val="24"/>
                <w:szCs w:val="24"/>
                <w:lang w:eastAsia="en-GB"/>
              </w:rPr>
              <w:t>HTA Fees Review</w:t>
            </w:r>
          </w:p>
        </w:tc>
        <w:tc>
          <w:tcPr>
            <w:tcW w:w="3459" w:type="dxa"/>
            <w:tcBorders>
              <w:top w:val="single" w:sz="4" w:space="0" w:color="000000"/>
              <w:left w:val="single" w:sz="4" w:space="0" w:color="000000"/>
              <w:bottom w:val="single" w:sz="4" w:space="0" w:color="000000"/>
              <w:right w:val="single" w:sz="4" w:space="0" w:color="000000"/>
            </w:tcBorders>
            <w:shd w:val="clear" w:color="auto" w:fill="DDEBF7"/>
            <w:tcMar>
              <w:top w:w="15" w:type="dxa"/>
              <w:left w:w="15" w:type="dxa"/>
              <w:bottom w:w="0" w:type="dxa"/>
              <w:right w:w="15" w:type="dxa"/>
            </w:tcMar>
            <w:vAlign w:val="center"/>
            <w:hideMark/>
          </w:tcPr>
          <w:p w14:paraId="3E7DCBA8" w14:textId="77777777" w:rsidR="00D15E0C" w:rsidRPr="00D15E0C" w:rsidRDefault="00D15E0C" w:rsidP="00D15E0C">
            <w:pPr>
              <w:spacing w:before="0" w:after="0" w:line="240" w:lineRule="auto"/>
              <w:textAlignment w:val="center"/>
              <w:rPr>
                <w:rFonts w:ascii="Arial" w:eastAsia="Times New Roman" w:hAnsi="Arial" w:cs="Arial"/>
                <w:sz w:val="36"/>
                <w:szCs w:val="36"/>
                <w:lang w:eastAsia="en-GB"/>
              </w:rPr>
            </w:pPr>
            <w:r w:rsidRPr="00D15E0C">
              <w:rPr>
                <w:rFonts w:ascii="Arial" w:eastAsia="Times New Roman" w:hAnsi="Arial" w:cs="Arial"/>
                <w:color w:val="000000"/>
                <w:kern w:val="24"/>
                <w:sz w:val="24"/>
                <w:szCs w:val="24"/>
                <w:lang w:eastAsia="en-GB"/>
              </w:rPr>
              <w:t>Richard Sydee</w:t>
            </w:r>
          </w:p>
        </w:tc>
        <w:tc>
          <w:tcPr>
            <w:tcW w:w="578" w:type="dxa"/>
            <w:tcBorders>
              <w:top w:val="single" w:sz="8" w:space="0" w:color="000000"/>
              <w:left w:val="single" w:sz="4"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14:paraId="7AFACEA2" w14:textId="77777777" w:rsidR="00D15E0C" w:rsidRPr="00D15E0C" w:rsidRDefault="00D15E0C" w:rsidP="00D15E0C">
            <w:pPr>
              <w:spacing w:before="0" w:after="0" w:line="240" w:lineRule="auto"/>
              <w:rPr>
                <w:rFonts w:ascii="Arial" w:eastAsia="Times New Roman" w:hAnsi="Arial" w:cs="Arial"/>
                <w:sz w:val="36"/>
                <w:szCs w:val="36"/>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14:paraId="02D61E8E"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14:paraId="6B5EF13E"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14:paraId="3459D88E"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14:paraId="75D581E5"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14:paraId="1AE524E1"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3578" w:type="dxa"/>
            <w:tcBorders>
              <w:top w:val="single" w:sz="4" w:space="0" w:color="000000"/>
              <w:left w:val="single" w:sz="8" w:space="0" w:color="000000"/>
              <w:bottom w:val="single" w:sz="4" w:space="0" w:color="000000"/>
              <w:right w:val="single" w:sz="8" w:space="0" w:color="000000"/>
            </w:tcBorders>
            <w:shd w:val="clear" w:color="auto" w:fill="F5F4F7"/>
            <w:tcMar>
              <w:top w:w="15" w:type="dxa"/>
              <w:left w:w="15" w:type="dxa"/>
              <w:bottom w:w="0" w:type="dxa"/>
              <w:right w:w="15" w:type="dxa"/>
            </w:tcMar>
            <w:vAlign w:val="center"/>
            <w:hideMark/>
          </w:tcPr>
          <w:p w14:paraId="63C49AC9" w14:textId="77777777" w:rsidR="00D15E0C" w:rsidRPr="00D15E0C" w:rsidRDefault="00D15E0C" w:rsidP="00D15E0C">
            <w:pPr>
              <w:spacing w:before="0" w:after="0" w:line="240" w:lineRule="auto"/>
              <w:textAlignment w:val="center"/>
              <w:rPr>
                <w:rFonts w:ascii="Arial" w:eastAsia="Times New Roman" w:hAnsi="Arial" w:cs="Arial"/>
                <w:sz w:val="36"/>
                <w:szCs w:val="36"/>
                <w:lang w:eastAsia="en-GB"/>
              </w:rPr>
            </w:pPr>
            <w:r w:rsidRPr="00D15E0C">
              <w:rPr>
                <w:rFonts w:ascii="Arial" w:eastAsia="Times New Roman" w:hAnsi="Arial" w:cs="Arial"/>
                <w:color w:val="000000" w:themeColor="text1"/>
                <w:kern w:val="24"/>
                <w:sz w:val="24"/>
                <w:szCs w:val="24"/>
                <w:lang w:eastAsia="en-GB"/>
              </w:rPr>
              <w:t xml:space="preserve">Project </w:t>
            </w:r>
            <w:r w:rsidRPr="00D15E0C">
              <w:rPr>
                <w:rFonts w:ascii="Arial" w:eastAsia="Times New Roman" w:hAnsi="Arial" w:cs="Arial"/>
                <w:b/>
                <w:bCs/>
                <w:color w:val="000000" w:themeColor="text1"/>
                <w:kern w:val="24"/>
                <w:sz w:val="24"/>
                <w:szCs w:val="24"/>
                <w:lang w:eastAsia="en-GB"/>
              </w:rPr>
              <w:t>completed</w:t>
            </w:r>
          </w:p>
        </w:tc>
      </w:tr>
      <w:tr w:rsidR="0021239F" w:rsidRPr="00104633" w14:paraId="065A8720" w14:textId="77777777" w:rsidTr="00104633">
        <w:trPr>
          <w:trHeight w:val="567"/>
        </w:trPr>
        <w:tc>
          <w:tcPr>
            <w:tcW w:w="339" w:type="dxa"/>
            <w:vMerge/>
            <w:tcBorders>
              <w:top w:val="single" w:sz="8" w:space="0" w:color="000000"/>
              <w:left w:val="single" w:sz="8" w:space="0" w:color="000000"/>
              <w:bottom w:val="single" w:sz="8" w:space="0" w:color="000000"/>
              <w:right w:val="single" w:sz="8" w:space="0" w:color="000000"/>
            </w:tcBorders>
            <w:vAlign w:val="center"/>
            <w:hideMark/>
          </w:tcPr>
          <w:p w14:paraId="3F4941D2" w14:textId="77777777" w:rsidR="00D15E0C" w:rsidRPr="00D15E0C" w:rsidRDefault="00D15E0C" w:rsidP="00D15E0C">
            <w:pPr>
              <w:spacing w:before="0" w:after="0" w:line="240" w:lineRule="auto"/>
              <w:rPr>
                <w:rFonts w:ascii="Arial" w:eastAsia="Times New Roman" w:hAnsi="Arial" w:cs="Arial"/>
                <w:sz w:val="36"/>
                <w:szCs w:val="36"/>
                <w:lang w:eastAsia="en-GB"/>
              </w:rPr>
            </w:pPr>
          </w:p>
        </w:tc>
        <w:tc>
          <w:tcPr>
            <w:tcW w:w="4040" w:type="dxa"/>
            <w:tcBorders>
              <w:top w:val="single" w:sz="4" w:space="0" w:color="000000"/>
              <w:left w:val="single" w:sz="8" w:space="0" w:color="000000"/>
              <w:bottom w:val="single" w:sz="4" w:space="0" w:color="000000"/>
              <w:right w:val="single" w:sz="4" w:space="0" w:color="000000"/>
            </w:tcBorders>
            <w:shd w:val="clear" w:color="auto" w:fill="DDEBF7"/>
            <w:tcMar>
              <w:top w:w="15" w:type="dxa"/>
              <w:left w:w="15" w:type="dxa"/>
              <w:bottom w:w="0" w:type="dxa"/>
              <w:right w:w="15" w:type="dxa"/>
            </w:tcMar>
            <w:vAlign w:val="center"/>
            <w:hideMark/>
          </w:tcPr>
          <w:p w14:paraId="786EFA4A" w14:textId="77777777" w:rsidR="00D15E0C" w:rsidRPr="00D15E0C" w:rsidRDefault="00D15E0C" w:rsidP="00D15E0C">
            <w:pPr>
              <w:spacing w:before="0" w:after="0" w:line="240" w:lineRule="auto"/>
              <w:textAlignment w:val="center"/>
              <w:rPr>
                <w:rFonts w:ascii="Arial" w:eastAsia="Times New Roman" w:hAnsi="Arial" w:cs="Arial"/>
                <w:sz w:val="36"/>
                <w:szCs w:val="36"/>
                <w:lang w:eastAsia="en-GB"/>
              </w:rPr>
            </w:pPr>
            <w:r w:rsidRPr="00D15E0C">
              <w:rPr>
                <w:rFonts w:ascii="Arial" w:eastAsiaTheme="minorEastAsia" w:hAnsi="Arial" w:cs="Arial"/>
                <w:color w:val="000000" w:themeColor="text1"/>
                <w:kern w:val="24"/>
                <w:sz w:val="24"/>
                <w:szCs w:val="24"/>
                <w:lang w:eastAsia="en-GB"/>
              </w:rPr>
              <w:t>Review of Inspections</w:t>
            </w:r>
          </w:p>
        </w:tc>
        <w:tc>
          <w:tcPr>
            <w:tcW w:w="3459" w:type="dxa"/>
            <w:tcBorders>
              <w:top w:val="single" w:sz="4" w:space="0" w:color="000000"/>
              <w:left w:val="single" w:sz="4" w:space="0" w:color="000000"/>
              <w:bottom w:val="single" w:sz="4" w:space="0" w:color="000000"/>
              <w:right w:val="single" w:sz="4" w:space="0" w:color="000000"/>
            </w:tcBorders>
            <w:shd w:val="clear" w:color="auto" w:fill="DDEBF7"/>
            <w:tcMar>
              <w:top w:w="15" w:type="dxa"/>
              <w:left w:w="15" w:type="dxa"/>
              <w:bottom w:w="0" w:type="dxa"/>
              <w:right w:w="15" w:type="dxa"/>
            </w:tcMar>
            <w:vAlign w:val="center"/>
            <w:hideMark/>
          </w:tcPr>
          <w:p w14:paraId="5484E364" w14:textId="77777777" w:rsidR="00D15E0C" w:rsidRPr="00D15E0C" w:rsidRDefault="00D15E0C" w:rsidP="00D15E0C">
            <w:pPr>
              <w:spacing w:before="0" w:after="0" w:line="240" w:lineRule="auto"/>
              <w:rPr>
                <w:rFonts w:ascii="Arial" w:eastAsia="Times New Roman" w:hAnsi="Arial" w:cs="Arial"/>
                <w:sz w:val="36"/>
                <w:szCs w:val="36"/>
                <w:lang w:eastAsia="en-GB"/>
              </w:rPr>
            </w:pPr>
            <w:r w:rsidRPr="00D15E0C">
              <w:rPr>
                <w:rFonts w:ascii="Arial" w:eastAsiaTheme="minorEastAsia" w:hAnsi="Arial" w:cs="Arial"/>
                <w:color w:val="000000" w:themeColor="text1"/>
                <w:kern w:val="24"/>
                <w:sz w:val="24"/>
                <w:szCs w:val="24"/>
                <w:lang w:eastAsia="en-GB"/>
              </w:rPr>
              <w:t>Nicolette Harrison</w:t>
            </w:r>
          </w:p>
        </w:tc>
        <w:tc>
          <w:tcPr>
            <w:tcW w:w="578" w:type="dxa"/>
            <w:tcBorders>
              <w:top w:val="single" w:sz="8" w:space="0" w:color="000000"/>
              <w:left w:val="single" w:sz="4" w:space="0" w:color="000000"/>
              <w:bottom w:val="single" w:sz="8" w:space="0" w:color="000000"/>
              <w:right w:val="single" w:sz="8" w:space="0" w:color="000000"/>
            </w:tcBorders>
            <w:shd w:val="clear" w:color="auto" w:fill="FFC000"/>
            <w:tcMar>
              <w:top w:w="15" w:type="dxa"/>
              <w:left w:w="15" w:type="dxa"/>
              <w:bottom w:w="0" w:type="dxa"/>
              <w:right w:w="15" w:type="dxa"/>
            </w:tcMar>
            <w:vAlign w:val="center"/>
            <w:hideMark/>
          </w:tcPr>
          <w:p w14:paraId="09144C92" w14:textId="77777777" w:rsidR="00D15E0C" w:rsidRPr="00D15E0C" w:rsidRDefault="00D15E0C" w:rsidP="00D15E0C">
            <w:pPr>
              <w:spacing w:before="0" w:after="0" w:line="240" w:lineRule="auto"/>
              <w:rPr>
                <w:rFonts w:ascii="Arial" w:eastAsia="Times New Roman" w:hAnsi="Arial" w:cs="Arial"/>
                <w:sz w:val="36"/>
                <w:szCs w:val="36"/>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hideMark/>
          </w:tcPr>
          <w:p w14:paraId="6ACA3D53"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FF0000"/>
            <w:tcMar>
              <w:top w:w="15" w:type="dxa"/>
              <w:left w:w="15" w:type="dxa"/>
              <w:bottom w:w="0" w:type="dxa"/>
              <w:right w:w="15" w:type="dxa"/>
            </w:tcMar>
            <w:vAlign w:val="center"/>
            <w:hideMark/>
          </w:tcPr>
          <w:p w14:paraId="6B9F9382"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hideMark/>
          </w:tcPr>
          <w:p w14:paraId="63EAD3E4"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hideMark/>
          </w:tcPr>
          <w:p w14:paraId="42CFC0CC"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hideMark/>
          </w:tcPr>
          <w:p w14:paraId="37242C53"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3578" w:type="dxa"/>
            <w:tcBorders>
              <w:top w:val="single" w:sz="4" w:space="0" w:color="000000"/>
              <w:left w:val="single" w:sz="8" w:space="0" w:color="000000"/>
              <w:bottom w:val="single" w:sz="4" w:space="0" w:color="000000"/>
              <w:right w:val="single" w:sz="8" w:space="0" w:color="000000"/>
            </w:tcBorders>
            <w:shd w:val="clear" w:color="auto" w:fill="F5F4F7"/>
            <w:tcMar>
              <w:top w:w="15" w:type="dxa"/>
              <w:left w:w="15" w:type="dxa"/>
              <w:bottom w:w="0" w:type="dxa"/>
              <w:right w:w="15" w:type="dxa"/>
            </w:tcMar>
            <w:vAlign w:val="center"/>
            <w:hideMark/>
          </w:tcPr>
          <w:p w14:paraId="01C53A4F" w14:textId="77777777" w:rsidR="00D15E0C" w:rsidRPr="00D15E0C" w:rsidRDefault="00D15E0C" w:rsidP="00D15E0C">
            <w:pPr>
              <w:spacing w:before="0" w:after="0" w:line="240" w:lineRule="auto"/>
              <w:rPr>
                <w:rFonts w:ascii="Arial" w:eastAsia="Times New Roman" w:hAnsi="Arial" w:cs="Arial"/>
                <w:sz w:val="36"/>
                <w:szCs w:val="36"/>
                <w:lang w:eastAsia="en-GB"/>
              </w:rPr>
            </w:pPr>
            <w:r w:rsidRPr="00D15E0C">
              <w:rPr>
                <w:rFonts w:ascii="Arial" w:eastAsiaTheme="minorEastAsia" w:hAnsi="Arial" w:cs="Arial"/>
                <w:color w:val="000000"/>
                <w:kern w:val="24"/>
                <w:sz w:val="24"/>
                <w:szCs w:val="24"/>
                <w:lang w:eastAsia="en-GB"/>
              </w:rPr>
              <w:t xml:space="preserve">Project </w:t>
            </w:r>
            <w:r w:rsidRPr="00D15E0C">
              <w:rPr>
                <w:rFonts w:ascii="Arial" w:eastAsiaTheme="minorEastAsia" w:hAnsi="Arial" w:cs="Arial"/>
                <w:b/>
                <w:bCs/>
                <w:color w:val="000000"/>
                <w:kern w:val="24"/>
                <w:sz w:val="24"/>
                <w:szCs w:val="24"/>
                <w:lang w:eastAsia="en-GB"/>
              </w:rPr>
              <w:t>continues</w:t>
            </w:r>
            <w:r w:rsidRPr="00D15E0C">
              <w:rPr>
                <w:rFonts w:ascii="Arial" w:eastAsiaTheme="minorEastAsia" w:hAnsi="Arial" w:cs="Arial"/>
                <w:color w:val="000000"/>
                <w:kern w:val="24"/>
                <w:sz w:val="24"/>
                <w:szCs w:val="24"/>
                <w:lang w:eastAsia="en-GB"/>
              </w:rPr>
              <w:t xml:space="preserve"> into 23/24</w:t>
            </w:r>
          </w:p>
        </w:tc>
      </w:tr>
      <w:tr w:rsidR="0021239F" w:rsidRPr="00104633" w14:paraId="31D66147" w14:textId="77777777" w:rsidTr="00104633">
        <w:trPr>
          <w:trHeight w:val="567"/>
        </w:trPr>
        <w:tc>
          <w:tcPr>
            <w:tcW w:w="339" w:type="dxa"/>
            <w:vMerge/>
            <w:tcBorders>
              <w:top w:val="single" w:sz="8" w:space="0" w:color="000000"/>
              <w:left w:val="single" w:sz="8" w:space="0" w:color="000000"/>
              <w:bottom w:val="single" w:sz="8" w:space="0" w:color="000000"/>
              <w:right w:val="single" w:sz="8" w:space="0" w:color="000000"/>
            </w:tcBorders>
            <w:vAlign w:val="center"/>
            <w:hideMark/>
          </w:tcPr>
          <w:p w14:paraId="59FE805C" w14:textId="77777777" w:rsidR="00D15E0C" w:rsidRPr="00D15E0C" w:rsidRDefault="00D15E0C" w:rsidP="00D15E0C">
            <w:pPr>
              <w:spacing w:before="0" w:after="0" w:line="240" w:lineRule="auto"/>
              <w:rPr>
                <w:rFonts w:ascii="Arial" w:eastAsia="Times New Roman" w:hAnsi="Arial" w:cs="Arial"/>
                <w:sz w:val="36"/>
                <w:szCs w:val="36"/>
                <w:lang w:eastAsia="en-GB"/>
              </w:rPr>
            </w:pPr>
          </w:p>
        </w:tc>
        <w:tc>
          <w:tcPr>
            <w:tcW w:w="4040" w:type="dxa"/>
            <w:tcBorders>
              <w:top w:val="single" w:sz="4" w:space="0" w:color="000000"/>
              <w:left w:val="single" w:sz="8" w:space="0" w:color="000000"/>
              <w:bottom w:val="single" w:sz="4" w:space="0" w:color="000000"/>
              <w:right w:val="single" w:sz="4" w:space="0" w:color="000000"/>
            </w:tcBorders>
            <w:shd w:val="clear" w:color="auto" w:fill="DDEBF7"/>
            <w:tcMar>
              <w:top w:w="15" w:type="dxa"/>
              <w:left w:w="15" w:type="dxa"/>
              <w:bottom w:w="0" w:type="dxa"/>
              <w:right w:w="15" w:type="dxa"/>
            </w:tcMar>
            <w:vAlign w:val="center"/>
            <w:hideMark/>
          </w:tcPr>
          <w:p w14:paraId="138F40ED" w14:textId="77777777" w:rsidR="00D15E0C" w:rsidRPr="00D15E0C" w:rsidRDefault="00D15E0C" w:rsidP="00D15E0C">
            <w:pPr>
              <w:spacing w:before="0" w:after="0" w:line="240" w:lineRule="auto"/>
              <w:textAlignment w:val="center"/>
              <w:rPr>
                <w:rFonts w:ascii="Arial" w:eastAsia="Times New Roman" w:hAnsi="Arial" w:cs="Arial"/>
                <w:sz w:val="36"/>
                <w:szCs w:val="36"/>
                <w:lang w:eastAsia="en-GB"/>
              </w:rPr>
            </w:pPr>
            <w:r w:rsidRPr="00D15E0C">
              <w:rPr>
                <w:rFonts w:ascii="Arial" w:eastAsiaTheme="minorEastAsia" w:hAnsi="Arial" w:cs="Arial"/>
                <w:color w:val="000000" w:themeColor="text1"/>
                <w:kern w:val="24"/>
                <w:sz w:val="24"/>
                <w:szCs w:val="24"/>
                <w:lang w:eastAsia="en-GB"/>
              </w:rPr>
              <w:t>Refresh of IT Equipment</w:t>
            </w:r>
          </w:p>
        </w:tc>
        <w:tc>
          <w:tcPr>
            <w:tcW w:w="3459" w:type="dxa"/>
            <w:tcBorders>
              <w:top w:val="single" w:sz="4" w:space="0" w:color="000000"/>
              <w:left w:val="single" w:sz="4" w:space="0" w:color="000000"/>
              <w:bottom w:val="single" w:sz="4" w:space="0" w:color="000000"/>
              <w:right w:val="single" w:sz="4" w:space="0" w:color="000000"/>
            </w:tcBorders>
            <w:shd w:val="clear" w:color="auto" w:fill="DDEBF7"/>
            <w:tcMar>
              <w:top w:w="15" w:type="dxa"/>
              <w:left w:w="15" w:type="dxa"/>
              <w:bottom w:w="0" w:type="dxa"/>
              <w:right w:w="15" w:type="dxa"/>
            </w:tcMar>
            <w:vAlign w:val="center"/>
            <w:hideMark/>
          </w:tcPr>
          <w:p w14:paraId="79BA83C9" w14:textId="77777777" w:rsidR="00D15E0C" w:rsidRPr="00D15E0C" w:rsidRDefault="00D15E0C" w:rsidP="00D15E0C">
            <w:pPr>
              <w:spacing w:before="0" w:after="0" w:line="240" w:lineRule="auto"/>
              <w:textAlignment w:val="center"/>
              <w:rPr>
                <w:rFonts w:ascii="Arial" w:eastAsia="Times New Roman" w:hAnsi="Arial" w:cs="Arial"/>
                <w:sz w:val="36"/>
                <w:szCs w:val="36"/>
                <w:lang w:eastAsia="en-GB"/>
              </w:rPr>
            </w:pPr>
            <w:r w:rsidRPr="00D15E0C">
              <w:rPr>
                <w:rFonts w:ascii="Arial" w:eastAsia="Times New Roman" w:hAnsi="Arial" w:cs="Arial"/>
                <w:color w:val="000000"/>
                <w:kern w:val="24"/>
                <w:sz w:val="24"/>
                <w:szCs w:val="24"/>
                <w:lang w:eastAsia="en-GB"/>
              </w:rPr>
              <w:t>Louise Dineley </w:t>
            </w:r>
          </w:p>
        </w:tc>
        <w:tc>
          <w:tcPr>
            <w:tcW w:w="578" w:type="dxa"/>
            <w:tcBorders>
              <w:top w:val="single" w:sz="8" w:space="0" w:color="000000"/>
              <w:left w:val="single" w:sz="4"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14:paraId="035E9F00" w14:textId="77777777" w:rsidR="00D15E0C" w:rsidRPr="00D15E0C" w:rsidRDefault="00D15E0C" w:rsidP="00D15E0C">
            <w:pPr>
              <w:spacing w:before="0" w:after="0" w:line="240" w:lineRule="auto"/>
              <w:rPr>
                <w:rFonts w:ascii="Arial" w:eastAsia="Times New Roman" w:hAnsi="Arial" w:cs="Arial"/>
                <w:sz w:val="36"/>
                <w:szCs w:val="36"/>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14:paraId="6006628B"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14:paraId="6FFF5A64"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14:paraId="323B9DBF"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14:paraId="341F8620"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14:paraId="38693605"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3578" w:type="dxa"/>
            <w:tcBorders>
              <w:top w:val="single" w:sz="4" w:space="0" w:color="000000"/>
              <w:left w:val="single" w:sz="8" w:space="0" w:color="000000"/>
              <w:bottom w:val="single" w:sz="4" w:space="0" w:color="000000"/>
              <w:right w:val="single" w:sz="8" w:space="0" w:color="000000"/>
            </w:tcBorders>
            <w:shd w:val="clear" w:color="auto" w:fill="F5F4F7"/>
            <w:tcMar>
              <w:top w:w="15" w:type="dxa"/>
              <w:left w:w="15" w:type="dxa"/>
              <w:bottom w:w="0" w:type="dxa"/>
              <w:right w:w="15" w:type="dxa"/>
            </w:tcMar>
            <w:vAlign w:val="center"/>
            <w:hideMark/>
          </w:tcPr>
          <w:p w14:paraId="374A20BA" w14:textId="77777777" w:rsidR="00D15E0C" w:rsidRPr="00D15E0C" w:rsidRDefault="00D15E0C" w:rsidP="00D15E0C">
            <w:pPr>
              <w:spacing w:before="0" w:after="0" w:line="240" w:lineRule="auto"/>
              <w:textAlignment w:val="center"/>
              <w:rPr>
                <w:rFonts w:ascii="Arial" w:eastAsia="Times New Roman" w:hAnsi="Arial" w:cs="Arial"/>
                <w:sz w:val="36"/>
                <w:szCs w:val="36"/>
                <w:lang w:eastAsia="en-GB"/>
              </w:rPr>
            </w:pPr>
            <w:r w:rsidRPr="00D15E0C">
              <w:rPr>
                <w:rFonts w:ascii="Arial" w:eastAsia="Times New Roman" w:hAnsi="Arial" w:cs="Arial"/>
                <w:color w:val="000000" w:themeColor="text1"/>
                <w:kern w:val="24"/>
                <w:sz w:val="24"/>
                <w:szCs w:val="24"/>
                <w:lang w:eastAsia="en-GB"/>
              </w:rPr>
              <w:t xml:space="preserve">Project </w:t>
            </w:r>
            <w:r w:rsidRPr="00D15E0C">
              <w:rPr>
                <w:rFonts w:ascii="Arial" w:eastAsia="Times New Roman" w:hAnsi="Arial" w:cs="Arial"/>
                <w:b/>
                <w:bCs/>
                <w:color w:val="000000" w:themeColor="text1"/>
                <w:kern w:val="24"/>
                <w:sz w:val="24"/>
                <w:szCs w:val="24"/>
                <w:lang w:eastAsia="en-GB"/>
              </w:rPr>
              <w:t>completed</w:t>
            </w:r>
          </w:p>
        </w:tc>
      </w:tr>
      <w:tr w:rsidR="0021239F" w:rsidRPr="00104633" w14:paraId="16CAD7C0" w14:textId="77777777" w:rsidTr="00104633">
        <w:trPr>
          <w:trHeight w:val="567"/>
        </w:trPr>
        <w:tc>
          <w:tcPr>
            <w:tcW w:w="339" w:type="dxa"/>
            <w:vMerge/>
            <w:tcBorders>
              <w:top w:val="single" w:sz="8" w:space="0" w:color="000000"/>
              <w:left w:val="single" w:sz="8" w:space="0" w:color="000000"/>
              <w:bottom w:val="single" w:sz="8" w:space="0" w:color="000000"/>
              <w:right w:val="single" w:sz="8" w:space="0" w:color="000000"/>
            </w:tcBorders>
            <w:vAlign w:val="center"/>
            <w:hideMark/>
          </w:tcPr>
          <w:p w14:paraId="085EB53E" w14:textId="77777777" w:rsidR="00D15E0C" w:rsidRPr="00D15E0C" w:rsidRDefault="00D15E0C" w:rsidP="00D15E0C">
            <w:pPr>
              <w:spacing w:before="0" w:after="0" w:line="240" w:lineRule="auto"/>
              <w:rPr>
                <w:rFonts w:ascii="Arial" w:eastAsia="Times New Roman" w:hAnsi="Arial" w:cs="Arial"/>
                <w:sz w:val="36"/>
                <w:szCs w:val="36"/>
                <w:lang w:eastAsia="en-GB"/>
              </w:rPr>
            </w:pPr>
          </w:p>
        </w:tc>
        <w:tc>
          <w:tcPr>
            <w:tcW w:w="4040" w:type="dxa"/>
            <w:tcBorders>
              <w:top w:val="single" w:sz="4" w:space="0" w:color="000000"/>
              <w:left w:val="single" w:sz="8" w:space="0" w:color="000000"/>
              <w:bottom w:val="single" w:sz="4" w:space="0" w:color="000000"/>
              <w:right w:val="single" w:sz="4" w:space="0" w:color="000000"/>
            </w:tcBorders>
            <w:shd w:val="clear" w:color="auto" w:fill="DDEBF7"/>
            <w:tcMar>
              <w:top w:w="15" w:type="dxa"/>
              <w:left w:w="15" w:type="dxa"/>
              <w:bottom w:w="0" w:type="dxa"/>
              <w:right w:w="15" w:type="dxa"/>
            </w:tcMar>
            <w:vAlign w:val="center"/>
            <w:hideMark/>
          </w:tcPr>
          <w:p w14:paraId="345BB3D6" w14:textId="77777777" w:rsidR="00D15E0C" w:rsidRPr="00D15E0C" w:rsidRDefault="00D15E0C" w:rsidP="00D15E0C">
            <w:pPr>
              <w:spacing w:before="0" w:after="0" w:line="240" w:lineRule="auto"/>
              <w:textAlignment w:val="center"/>
              <w:rPr>
                <w:rFonts w:ascii="Arial" w:eastAsia="Times New Roman" w:hAnsi="Arial" w:cs="Arial"/>
                <w:sz w:val="36"/>
                <w:szCs w:val="36"/>
                <w:lang w:eastAsia="en-GB"/>
              </w:rPr>
            </w:pPr>
            <w:r w:rsidRPr="00D15E0C">
              <w:rPr>
                <w:rFonts w:ascii="Arial" w:eastAsiaTheme="minorEastAsia" w:hAnsi="Arial" w:cs="Arial"/>
                <w:color w:val="000000" w:themeColor="text1"/>
                <w:kern w:val="24"/>
                <w:sz w:val="24"/>
                <w:szCs w:val="24"/>
                <w:lang w:eastAsia="en-GB"/>
              </w:rPr>
              <w:t>IT Shared Services</w:t>
            </w:r>
          </w:p>
        </w:tc>
        <w:tc>
          <w:tcPr>
            <w:tcW w:w="3459" w:type="dxa"/>
            <w:tcBorders>
              <w:top w:val="single" w:sz="4" w:space="0" w:color="000000"/>
              <w:left w:val="single" w:sz="4" w:space="0" w:color="000000"/>
              <w:bottom w:val="single" w:sz="4" w:space="0" w:color="000000"/>
              <w:right w:val="single" w:sz="4" w:space="0" w:color="000000"/>
            </w:tcBorders>
            <w:shd w:val="clear" w:color="auto" w:fill="DDEBF7"/>
            <w:tcMar>
              <w:top w:w="15" w:type="dxa"/>
              <w:left w:w="15" w:type="dxa"/>
              <w:bottom w:w="0" w:type="dxa"/>
              <w:right w:w="15" w:type="dxa"/>
            </w:tcMar>
            <w:vAlign w:val="center"/>
            <w:hideMark/>
          </w:tcPr>
          <w:p w14:paraId="3D0EE7F1" w14:textId="77777777" w:rsidR="00D15E0C" w:rsidRPr="00D15E0C" w:rsidRDefault="00D15E0C" w:rsidP="00D15E0C">
            <w:pPr>
              <w:spacing w:before="0" w:after="0" w:line="240" w:lineRule="auto"/>
              <w:textAlignment w:val="center"/>
              <w:rPr>
                <w:rFonts w:ascii="Arial" w:eastAsia="Times New Roman" w:hAnsi="Arial" w:cs="Arial"/>
                <w:sz w:val="36"/>
                <w:szCs w:val="36"/>
                <w:lang w:eastAsia="en-GB"/>
              </w:rPr>
            </w:pPr>
            <w:r w:rsidRPr="00D15E0C">
              <w:rPr>
                <w:rFonts w:ascii="Arial" w:eastAsia="Times New Roman" w:hAnsi="Arial" w:cs="Arial"/>
                <w:color w:val="000000"/>
                <w:kern w:val="24"/>
                <w:sz w:val="24"/>
                <w:szCs w:val="24"/>
                <w:lang w:eastAsia="en-GB"/>
              </w:rPr>
              <w:t>Louise Dineley</w:t>
            </w:r>
          </w:p>
        </w:tc>
        <w:tc>
          <w:tcPr>
            <w:tcW w:w="578" w:type="dxa"/>
            <w:tcBorders>
              <w:top w:val="single" w:sz="8" w:space="0" w:color="000000"/>
              <w:left w:val="single" w:sz="4" w:space="0" w:color="000000"/>
              <w:bottom w:val="single" w:sz="8" w:space="0" w:color="000000"/>
              <w:right w:val="single" w:sz="8" w:space="0" w:color="000000"/>
            </w:tcBorders>
            <w:shd w:val="clear" w:color="auto" w:fill="FFC000"/>
            <w:tcMar>
              <w:top w:w="15" w:type="dxa"/>
              <w:left w:w="15" w:type="dxa"/>
              <w:bottom w:w="0" w:type="dxa"/>
              <w:right w:w="15" w:type="dxa"/>
            </w:tcMar>
            <w:vAlign w:val="center"/>
            <w:hideMark/>
          </w:tcPr>
          <w:p w14:paraId="7FE4E229" w14:textId="77777777" w:rsidR="00D15E0C" w:rsidRPr="00D15E0C" w:rsidRDefault="00D15E0C" w:rsidP="00D15E0C">
            <w:pPr>
              <w:spacing w:before="0" w:after="0" w:line="240" w:lineRule="auto"/>
              <w:rPr>
                <w:rFonts w:ascii="Arial" w:eastAsia="Times New Roman" w:hAnsi="Arial" w:cs="Arial"/>
                <w:sz w:val="36"/>
                <w:szCs w:val="36"/>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FF0000"/>
            <w:tcMar>
              <w:top w:w="15" w:type="dxa"/>
              <w:left w:w="15" w:type="dxa"/>
              <w:bottom w:w="0" w:type="dxa"/>
              <w:right w:w="15" w:type="dxa"/>
            </w:tcMar>
            <w:vAlign w:val="center"/>
            <w:hideMark/>
          </w:tcPr>
          <w:p w14:paraId="0AC54864"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FF0000"/>
            <w:tcMar>
              <w:top w:w="15" w:type="dxa"/>
              <w:left w:w="15" w:type="dxa"/>
              <w:bottom w:w="0" w:type="dxa"/>
              <w:right w:w="15" w:type="dxa"/>
            </w:tcMar>
            <w:vAlign w:val="center"/>
            <w:hideMark/>
          </w:tcPr>
          <w:p w14:paraId="4D76E3CB"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FF0000"/>
            <w:tcMar>
              <w:top w:w="15" w:type="dxa"/>
              <w:left w:w="15" w:type="dxa"/>
              <w:bottom w:w="0" w:type="dxa"/>
              <w:right w:w="15" w:type="dxa"/>
            </w:tcMar>
            <w:vAlign w:val="center"/>
            <w:hideMark/>
          </w:tcPr>
          <w:p w14:paraId="650DB6D0"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FF0000"/>
            <w:tcMar>
              <w:top w:w="15" w:type="dxa"/>
              <w:left w:w="15" w:type="dxa"/>
              <w:bottom w:w="0" w:type="dxa"/>
              <w:right w:w="15" w:type="dxa"/>
            </w:tcMar>
            <w:vAlign w:val="center"/>
            <w:hideMark/>
          </w:tcPr>
          <w:p w14:paraId="5A2B421F"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FF0000"/>
            <w:tcMar>
              <w:top w:w="15" w:type="dxa"/>
              <w:left w:w="15" w:type="dxa"/>
              <w:bottom w:w="0" w:type="dxa"/>
              <w:right w:w="15" w:type="dxa"/>
            </w:tcMar>
            <w:vAlign w:val="center"/>
            <w:hideMark/>
          </w:tcPr>
          <w:p w14:paraId="48948311"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3578" w:type="dxa"/>
            <w:tcBorders>
              <w:top w:val="single" w:sz="4" w:space="0" w:color="000000"/>
              <w:left w:val="single" w:sz="8" w:space="0" w:color="000000"/>
              <w:bottom w:val="single" w:sz="4" w:space="0" w:color="000000"/>
              <w:right w:val="single" w:sz="8" w:space="0" w:color="000000"/>
            </w:tcBorders>
            <w:shd w:val="clear" w:color="auto" w:fill="F5F4F7"/>
            <w:tcMar>
              <w:top w:w="15" w:type="dxa"/>
              <w:left w:w="15" w:type="dxa"/>
              <w:bottom w:w="0" w:type="dxa"/>
              <w:right w:w="15" w:type="dxa"/>
            </w:tcMar>
            <w:vAlign w:val="center"/>
            <w:hideMark/>
          </w:tcPr>
          <w:p w14:paraId="0474FAEC" w14:textId="77777777" w:rsidR="00D15E0C" w:rsidRPr="00D15E0C" w:rsidRDefault="00D15E0C" w:rsidP="00D15E0C">
            <w:pPr>
              <w:spacing w:before="0" w:after="0" w:line="240" w:lineRule="auto"/>
              <w:rPr>
                <w:rFonts w:ascii="Arial" w:eastAsia="Times New Roman" w:hAnsi="Arial" w:cs="Arial"/>
                <w:sz w:val="36"/>
                <w:szCs w:val="36"/>
                <w:lang w:eastAsia="en-GB"/>
              </w:rPr>
            </w:pPr>
            <w:r w:rsidRPr="00D15E0C">
              <w:rPr>
                <w:rFonts w:ascii="Arial" w:eastAsiaTheme="minorEastAsia" w:hAnsi="Arial" w:cs="Arial"/>
                <w:color w:val="000000"/>
                <w:kern w:val="24"/>
                <w:sz w:val="24"/>
                <w:szCs w:val="24"/>
                <w:lang w:eastAsia="en-GB"/>
              </w:rPr>
              <w:t xml:space="preserve">Project </w:t>
            </w:r>
            <w:r w:rsidRPr="00D15E0C">
              <w:rPr>
                <w:rFonts w:ascii="Arial" w:eastAsiaTheme="minorEastAsia" w:hAnsi="Arial" w:cs="Arial"/>
                <w:b/>
                <w:bCs/>
                <w:color w:val="000000"/>
                <w:kern w:val="24"/>
                <w:sz w:val="24"/>
                <w:szCs w:val="24"/>
                <w:lang w:eastAsia="en-GB"/>
              </w:rPr>
              <w:t>continues</w:t>
            </w:r>
            <w:r w:rsidRPr="00D15E0C">
              <w:rPr>
                <w:rFonts w:ascii="Arial" w:eastAsiaTheme="minorEastAsia" w:hAnsi="Arial" w:cs="Arial"/>
                <w:color w:val="000000"/>
                <w:kern w:val="24"/>
                <w:sz w:val="24"/>
                <w:szCs w:val="24"/>
                <w:lang w:eastAsia="en-GB"/>
              </w:rPr>
              <w:t xml:space="preserve"> into 23/24</w:t>
            </w:r>
          </w:p>
        </w:tc>
      </w:tr>
      <w:tr w:rsidR="0021239F" w:rsidRPr="00104633" w14:paraId="72FDB584" w14:textId="77777777" w:rsidTr="00104633">
        <w:trPr>
          <w:trHeight w:val="567"/>
        </w:trPr>
        <w:tc>
          <w:tcPr>
            <w:tcW w:w="339" w:type="dxa"/>
            <w:vMerge/>
            <w:tcBorders>
              <w:top w:val="single" w:sz="8" w:space="0" w:color="000000"/>
              <w:left w:val="single" w:sz="8" w:space="0" w:color="000000"/>
              <w:bottom w:val="single" w:sz="8" w:space="0" w:color="000000"/>
              <w:right w:val="single" w:sz="8" w:space="0" w:color="000000"/>
            </w:tcBorders>
            <w:vAlign w:val="center"/>
            <w:hideMark/>
          </w:tcPr>
          <w:p w14:paraId="7EC39413" w14:textId="77777777" w:rsidR="00D15E0C" w:rsidRPr="00D15E0C" w:rsidRDefault="00D15E0C" w:rsidP="00D15E0C">
            <w:pPr>
              <w:spacing w:before="0" w:after="0" w:line="240" w:lineRule="auto"/>
              <w:rPr>
                <w:rFonts w:ascii="Arial" w:eastAsia="Times New Roman" w:hAnsi="Arial" w:cs="Arial"/>
                <w:sz w:val="36"/>
                <w:szCs w:val="36"/>
                <w:lang w:eastAsia="en-GB"/>
              </w:rPr>
            </w:pPr>
          </w:p>
        </w:tc>
        <w:tc>
          <w:tcPr>
            <w:tcW w:w="4040" w:type="dxa"/>
            <w:tcBorders>
              <w:top w:val="single" w:sz="4" w:space="0" w:color="000000"/>
              <w:left w:val="single" w:sz="8" w:space="0" w:color="000000"/>
              <w:bottom w:val="single" w:sz="4" w:space="0" w:color="000000"/>
              <w:right w:val="single" w:sz="4" w:space="0" w:color="000000"/>
            </w:tcBorders>
            <w:shd w:val="clear" w:color="auto" w:fill="DDEBF7"/>
            <w:tcMar>
              <w:top w:w="15" w:type="dxa"/>
              <w:left w:w="15" w:type="dxa"/>
              <w:bottom w:w="0" w:type="dxa"/>
              <w:right w:w="15" w:type="dxa"/>
            </w:tcMar>
            <w:vAlign w:val="center"/>
            <w:hideMark/>
          </w:tcPr>
          <w:p w14:paraId="30148701" w14:textId="77777777" w:rsidR="00D15E0C" w:rsidRPr="00D15E0C" w:rsidRDefault="00D15E0C" w:rsidP="00D15E0C">
            <w:pPr>
              <w:spacing w:before="0" w:after="0" w:line="240" w:lineRule="auto"/>
              <w:textAlignment w:val="center"/>
              <w:rPr>
                <w:rFonts w:ascii="Arial" w:eastAsia="Times New Roman" w:hAnsi="Arial" w:cs="Arial"/>
                <w:sz w:val="36"/>
                <w:szCs w:val="36"/>
                <w:lang w:eastAsia="en-GB"/>
              </w:rPr>
            </w:pPr>
            <w:r w:rsidRPr="00D15E0C">
              <w:rPr>
                <w:rFonts w:ascii="Arial" w:eastAsiaTheme="minorEastAsia" w:hAnsi="Arial" w:cs="Arial"/>
                <w:color w:val="000000" w:themeColor="text1"/>
                <w:kern w:val="24"/>
                <w:sz w:val="24"/>
                <w:szCs w:val="24"/>
                <w:lang w:eastAsia="en-GB"/>
              </w:rPr>
              <w:t>HR Shared Services</w:t>
            </w:r>
          </w:p>
        </w:tc>
        <w:tc>
          <w:tcPr>
            <w:tcW w:w="3459" w:type="dxa"/>
            <w:tcBorders>
              <w:top w:val="single" w:sz="4" w:space="0" w:color="000000"/>
              <w:left w:val="single" w:sz="4" w:space="0" w:color="000000"/>
              <w:bottom w:val="single" w:sz="4" w:space="0" w:color="000000"/>
              <w:right w:val="single" w:sz="4" w:space="0" w:color="000000"/>
            </w:tcBorders>
            <w:shd w:val="clear" w:color="auto" w:fill="DDEBF7"/>
            <w:tcMar>
              <w:top w:w="15" w:type="dxa"/>
              <w:left w:w="15" w:type="dxa"/>
              <w:bottom w:w="0" w:type="dxa"/>
              <w:right w:w="15" w:type="dxa"/>
            </w:tcMar>
            <w:vAlign w:val="center"/>
            <w:hideMark/>
          </w:tcPr>
          <w:p w14:paraId="1E8BECA2" w14:textId="77777777" w:rsidR="00D15E0C" w:rsidRPr="00D15E0C" w:rsidRDefault="00D15E0C" w:rsidP="00D15E0C">
            <w:pPr>
              <w:spacing w:before="0" w:after="0" w:line="240" w:lineRule="auto"/>
              <w:textAlignment w:val="center"/>
              <w:rPr>
                <w:rFonts w:ascii="Arial" w:eastAsia="Times New Roman" w:hAnsi="Arial" w:cs="Arial"/>
                <w:sz w:val="36"/>
                <w:szCs w:val="36"/>
                <w:lang w:eastAsia="en-GB"/>
              </w:rPr>
            </w:pPr>
            <w:r w:rsidRPr="00D15E0C">
              <w:rPr>
                <w:rFonts w:ascii="Arial" w:eastAsia="Times New Roman" w:hAnsi="Arial" w:cs="Arial"/>
                <w:color w:val="000000"/>
                <w:kern w:val="24"/>
                <w:sz w:val="24"/>
                <w:szCs w:val="24"/>
                <w:lang w:eastAsia="en-GB"/>
              </w:rPr>
              <w:t>Richard Sydee </w:t>
            </w:r>
          </w:p>
        </w:tc>
        <w:tc>
          <w:tcPr>
            <w:tcW w:w="578" w:type="dxa"/>
            <w:tcBorders>
              <w:top w:val="single" w:sz="8" w:space="0" w:color="000000"/>
              <w:left w:val="single" w:sz="4"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14:paraId="7901D053" w14:textId="77777777" w:rsidR="00D15E0C" w:rsidRPr="00D15E0C" w:rsidRDefault="00D15E0C" w:rsidP="00D15E0C">
            <w:pPr>
              <w:spacing w:before="0" w:after="0" w:line="240" w:lineRule="auto"/>
              <w:rPr>
                <w:rFonts w:ascii="Arial" w:eastAsia="Times New Roman" w:hAnsi="Arial" w:cs="Arial"/>
                <w:sz w:val="36"/>
                <w:szCs w:val="36"/>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14:paraId="55A1F94F"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hideMark/>
          </w:tcPr>
          <w:p w14:paraId="41E640F6"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hideMark/>
          </w:tcPr>
          <w:p w14:paraId="39570179"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hideMark/>
          </w:tcPr>
          <w:p w14:paraId="59E04C35"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hideMark/>
          </w:tcPr>
          <w:p w14:paraId="0CD87183"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3578" w:type="dxa"/>
            <w:tcBorders>
              <w:top w:val="single" w:sz="4" w:space="0" w:color="000000"/>
              <w:left w:val="single" w:sz="8" w:space="0" w:color="000000"/>
              <w:bottom w:val="single" w:sz="4" w:space="0" w:color="000000"/>
              <w:right w:val="single" w:sz="8" w:space="0" w:color="000000"/>
            </w:tcBorders>
            <w:shd w:val="clear" w:color="auto" w:fill="F5F4F7"/>
            <w:tcMar>
              <w:top w:w="15" w:type="dxa"/>
              <w:left w:w="15" w:type="dxa"/>
              <w:bottom w:w="0" w:type="dxa"/>
              <w:right w:w="15" w:type="dxa"/>
            </w:tcMar>
            <w:vAlign w:val="center"/>
            <w:hideMark/>
          </w:tcPr>
          <w:p w14:paraId="6687636A" w14:textId="77777777" w:rsidR="00D15E0C" w:rsidRPr="00D15E0C" w:rsidRDefault="00D15E0C" w:rsidP="00D15E0C">
            <w:pPr>
              <w:spacing w:before="0" w:after="0" w:line="240" w:lineRule="auto"/>
              <w:rPr>
                <w:rFonts w:ascii="Arial" w:eastAsia="Times New Roman" w:hAnsi="Arial" w:cs="Arial"/>
                <w:sz w:val="36"/>
                <w:szCs w:val="36"/>
                <w:lang w:eastAsia="en-GB"/>
              </w:rPr>
            </w:pPr>
            <w:r w:rsidRPr="00D15E0C">
              <w:rPr>
                <w:rFonts w:ascii="Arial" w:eastAsiaTheme="minorEastAsia" w:hAnsi="Arial" w:cs="Arial"/>
                <w:color w:val="000000"/>
                <w:kern w:val="24"/>
                <w:sz w:val="24"/>
                <w:szCs w:val="24"/>
                <w:lang w:eastAsia="en-GB"/>
              </w:rPr>
              <w:t xml:space="preserve">Project </w:t>
            </w:r>
            <w:r w:rsidRPr="00D15E0C">
              <w:rPr>
                <w:rFonts w:ascii="Arial" w:eastAsiaTheme="minorEastAsia" w:hAnsi="Arial" w:cs="Arial"/>
                <w:b/>
                <w:bCs/>
                <w:color w:val="000000"/>
                <w:kern w:val="24"/>
                <w:sz w:val="24"/>
                <w:szCs w:val="24"/>
                <w:lang w:eastAsia="en-GB"/>
              </w:rPr>
              <w:t>continues</w:t>
            </w:r>
            <w:r w:rsidRPr="00D15E0C">
              <w:rPr>
                <w:rFonts w:ascii="Arial" w:eastAsiaTheme="minorEastAsia" w:hAnsi="Arial" w:cs="Arial"/>
                <w:color w:val="000000"/>
                <w:kern w:val="24"/>
                <w:sz w:val="24"/>
                <w:szCs w:val="24"/>
                <w:lang w:eastAsia="en-GB"/>
              </w:rPr>
              <w:t xml:space="preserve"> into 23/24</w:t>
            </w:r>
          </w:p>
        </w:tc>
      </w:tr>
      <w:tr w:rsidR="0021239F" w:rsidRPr="00104633" w14:paraId="003666D1" w14:textId="77777777" w:rsidTr="00104633">
        <w:trPr>
          <w:trHeight w:val="567"/>
        </w:trPr>
        <w:tc>
          <w:tcPr>
            <w:tcW w:w="339" w:type="dxa"/>
            <w:tcBorders>
              <w:top w:val="single" w:sz="8" w:space="0" w:color="000000"/>
              <w:left w:val="single" w:sz="8" w:space="0" w:color="000000"/>
              <w:bottom w:val="single" w:sz="8" w:space="0" w:color="000000"/>
              <w:right w:val="single" w:sz="8" w:space="0" w:color="000000"/>
            </w:tcBorders>
            <w:shd w:val="clear" w:color="auto" w:fill="002060"/>
            <w:tcMar>
              <w:top w:w="15" w:type="dxa"/>
              <w:left w:w="15" w:type="dxa"/>
              <w:bottom w:w="0" w:type="dxa"/>
              <w:right w:w="15" w:type="dxa"/>
            </w:tcMar>
            <w:textDirection w:val="btLr"/>
            <w:vAlign w:val="center"/>
            <w:hideMark/>
          </w:tcPr>
          <w:p w14:paraId="0A298B42" w14:textId="77777777" w:rsidR="00D15E0C" w:rsidRPr="00D15E0C" w:rsidRDefault="00D15E0C" w:rsidP="00D15E0C">
            <w:pPr>
              <w:spacing w:before="0" w:after="0" w:line="240" w:lineRule="auto"/>
              <w:rPr>
                <w:rFonts w:ascii="Arial" w:eastAsia="Times New Roman" w:hAnsi="Arial" w:cs="Arial"/>
                <w:sz w:val="36"/>
                <w:szCs w:val="36"/>
                <w:lang w:eastAsia="en-GB"/>
              </w:rPr>
            </w:pPr>
          </w:p>
        </w:tc>
        <w:tc>
          <w:tcPr>
            <w:tcW w:w="4040" w:type="dxa"/>
            <w:tcBorders>
              <w:top w:val="single" w:sz="4" w:space="0" w:color="000000"/>
              <w:left w:val="single" w:sz="8" w:space="0" w:color="000000"/>
              <w:bottom w:val="single" w:sz="4" w:space="0" w:color="000000"/>
              <w:right w:val="single" w:sz="4" w:space="0" w:color="000000"/>
            </w:tcBorders>
            <w:shd w:val="clear" w:color="auto" w:fill="DDEBF7"/>
            <w:tcMar>
              <w:top w:w="15" w:type="dxa"/>
              <w:left w:w="15" w:type="dxa"/>
              <w:bottom w:w="0" w:type="dxa"/>
              <w:right w:w="15" w:type="dxa"/>
            </w:tcMar>
            <w:vAlign w:val="center"/>
            <w:hideMark/>
          </w:tcPr>
          <w:p w14:paraId="76D011A7" w14:textId="77777777" w:rsidR="00D15E0C" w:rsidRPr="00D15E0C" w:rsidRDefault="00D15E0C" w:rsidP="00D15E0C">
            <w:pPr>
              <w:spacing w:before="0" w:after="0" w:line="240" w:lineRule="auto"/>
              <w:textAlignment w:val="center"/>
              <w:rPr>
                <w:rFonts w:ascii="Arial" w:eastAsia="Times New Roman" w:hAnsi="Arial" w:cs="Arial"/>
                <w:sz w:val="36"/>
                <w:szCs w:val="36"/>
                <w:lang w:eastAsia="en-GB"/>
              </w:rPr>
            </w:pPr>
            <w:r w:rsidRPr="00D15E0C">
              <w:rPr>
                <w:rFonts w:ascii="Arial" w:eastAsia="Times New Roman" w:hAnsi="Arial" w:cs="Arial"/>
                <w:color w:val="000000"/>
                <w:kern w:val="24"/>
                <w:sz w:val="24"/>
                <w:szCs w:val="24"/>
                <w:lang w:eastAsia="en-GB"/>
              </w:rPr>
              <w:t>Factual Accuracy Update - Codes</w:t>
            </w:r>
          </w:p>
        </w:tc>
        <w:tc>
          <w:tcPr>
            <w:tcW w:w="3459" w:type="dxa"/>
            <w:tcBorders>
              <w:top w:val="single" w:sz="4" w:space="0" w:color="000000"/>
              <w:left w:val="single" w:sz="4" w:space="0" w:color="000000"/>
              <w:bottom w:val="single" w:sz="4" w:space="0" w:color="000000"/>
              <w:right w:val="single" w:sz="4" w:space="0" w:color="000000"/>
            </w:tcBorders>
            <w:shd w:val="clear" w:color="auto" w:fill="DDEBF7"/>
            <w:tcMar>
              <w:top w:w="15" w:type="dxa"/>
              <w:left w:w="15" w:type="dxa"/>
              <w:bottom w:w="0" w:type="dxa"/>
              <w:right w:w="15" w:type="dxa"/>
            </w:tcMar>
            <w:vAlign w:val="center"/>
            <w:hideMark/>
          </w:tcPr>
          <w:p w14:paraId="27423A17" w14:textId="77777777" w:rsidR="00D15E0C" w:rsidRPr="00D15E0C" w:rsidRDefault="00D15E0C" w:rsidP="00D15E0C">
            <w:pPr>
              <w:spacing w:before="0" w:after="0" w:line="240" w:lineRule="auto"/>
              <w:textAlignment w:val="center"/>
              <w:rPr>
                <w:rFonts w:ascii="Arial" w:eastAsia="Times New Roman" w:hAnsi="Arial" w:cs="Arial"/>
                <w:sz w:val="36"/>
                <w:szCs w:val="36"/>
                <w:lang w:eastAsia="en-GB"/>
              </w:rPr>
            </w:pPr>
            <w:r w:rsidRPr="00D15E0C">
              <w:rPr>
                <w:rFonts w:ascii="Arial" w:eastAsia="Times New Roman" w:hAnsi="Arial" w:cs="Arial"/>
                <w:color w:val="000000"/>
                <w:kern w:val="24"/>
                <w:sz w:val="24"/>
                <w:szCs w:val="24"/>
                <w:lang w:eastAsia="en-GB"/>
              </w:rPr>
              <w:t>Louise Dineley</w:t>
            </w:r>
          </w:p>
        </w:tc>
        <w:tc>
          <w:tcPr>
            <w:tcW w:w="578" w:type="dxa"/>
            <w:tcBorders>
              <w:top w:val="single" w:sz="8" w:space="0" w:color="000000"/>
              <w:left w:val="single" w:sz="4"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14:paraId="32BB591A" w14:textId="77777777" w:rsidR="00D15E0C" w:rsidRPr="00D15E0C" w:rsidRDefault="00D15E0C" w:rsidP="00D15E0C">
            <w:pPr>
              <w:spacing w:before="0" w:after="0" w:line="240" w:lineRule="auto"/>
              <w:rPr>
                <w:rFonts w:ascii="Arial" w:eastAsia="Times New Roman" w:hAnsi="Arial" w:cs="Arial"/>
                <w:sz w:val="36"/>
                <w:szCs w:val="36"/>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14:paraId="5855FEA1"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14:paraId="76164B90"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14:paraId="505DD4CA"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14:paraId="3AB91E6D"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14:paraId="6AD11BA7"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3578" w:type="dxa"/>
            <w:tcBorders>
              <w:top w:val="single" w:sz="4" w:space="0" w:color="000000"/>
              <w:left w:val="single" w:sz="8" w:space="0" w:color="000000"/>
              <w:bottom w:val="single" w:sz="4" w:space="0" w:color="000000"/>
              <w:right w:val="single" w:sz="8" w:space="0" w:color="000000"/>
            </w:tcBorders>
            <w:shd w:val="clear" w:color="auto" w:fill="F5F4F7"/>
            <w:tcMar>
              <w:top w:w="15" w:type="dxa"/>
              <w:left w:w="15" w:type="dxa"/>
              <w:bottom w:w="0" w:type="dxa"/>
              <w:right w:w="15" w:type="dxa"/>
            </w:tcMar>
            <w:vAlign w:val="center"/>
            <w:hideMark/>
          </w:tcPr>
          <w:p w14:paraId="731ED09F" w14:textId="77777777" w:rsidR="00D15E0C" w:rsidRPr="00D15E0C" w:rsidRDefault="00D15E0C" w:rsidP="00D15E0C">
            <w:pPr>
              <w:spacing w:before="0" w:after="0" w:line="240" w:lineRule="auto"/>
              <w:textAlignment w:val="center"/>
              <w:rPr>
                <w:rFonts w:ascii="Arial" w:eastAsia="Times New Roman" w:hAnsi="Arial" w:cs="Arial"/>
                <w:sz w:val="36"/>
                <w:szCs w:val="36"/>
                <w:lang w:eastAsia="en-GB"/>
              </w:rPr>
            </w:pPr>
            <w:r w:rsidRPr="00D15E0C">
              <w:rPr>
                <w:rFonts w:ascii="Arial" w:eastAsia="Times New Roman" w:hAnsi="Arial" w:cs="Arial"/>
                <w:color w:val="000000" w:themeColor="text1"/>
                <w:kern w:val="24"/>
                <w:sz w:val="24"/>
                <w:szCs w:val="24"/>
                <w:lang w:eastAsia="en-GB"/>
              </w:rPr>
              <w:t xml:space="preserve">Project </w:t>
            </w:r>
            <w:r w:rsidRPr="00D15E0C">
              <w:rPr>
                <w:rFonts w:ascii="Arial" w:eastAsia="Times New Roman" w:hAnsi="Arial" w:cs="Arial"/>
                <w:b/>
                <w:bCs/>
                <w:color w:val="000000" w:themeColor="text1"/>
                <w:kern w:val="24"/>
                <w:sz w:val="24"/>
                <w:szCs w:val="24"/>
                <w:lang w:eastAsia="en-GB"/>
              </w:rPr>
              <w:t>completed</w:t>
            </w:r>
          </w:p>
        </w:tc>
      </w:tr>
      <w:tr w:rsidR="0021239F" w:rsidRPr="00104633" w14:paraId="17141C39" w14:textId="77777777" w:rsidTr="00104633">
        <w:trPr>
          <w:trHeight w:val="567"/>
        </w:trPr>
        <w:tc>
          <w:tcPr>
            <w:tcW w:w="339" w:type="dxa"/>
            <w:tcBorders>
              <w:top w:val="single" w:sz="8" w:space="0" w:color="000000"/>
              <w:left w:val="single" w:sz="8" w:space="0" w:color="000000"/>
              <w:bottom w:val="single" w:sz="8" w:space="0" w:color="000000"/>
              <w:right w:val="single" w:sz="8" w:space="0" w:color="000000"/>
            </w:tcBorders>
            <w:shd w:val="clear" w:color="auto" w:fill="002060"/>
            <w:tcMar>
              <w:top w:w="15" w:type="dxa"/>
              <w:left w:w="15" w:type="dxa"/>
              <w:bottom w:w="0" w:type="dxa"/>
              <w:right w:w="15" w:type="dxa"/>
            </w:tcMar>
            <w:textDirection w:val="btLr"/>
            <w:vAlign w:val="center"/>
            <w:hideMark/>
          </w:tcPr>
          <w:p w14:paraId="42130790" w14:textId="77777777" w:rsidR="00D15E0C" w:rsidRPr="00D15E0C" w:rsidRDefault="00D15E0C" w:rsidP="00D15E0C">
            <w:pPr>
              <w:spacing w:before="0" w:after="0" w:line="240" w:lineRule="auto"/>
              <w:rPr>
                <w:rFonts w:ascii="Arial" w:eastAsia="Times New Roman" w:hAnsi="Arial" w:cs="Arial"/>
                <w:sz w:val="36"/>
                <w:szCs w:val="36"/>
                <w:lang w:eastAsia="en-GB"/>
              </w:rPr>
            </w:pPr>
          </w:p>
        </w:tc>
        <w:tc>
          <w:tcPr>
            <w:tcW w:w="4040" w:type="dxa"/>
            <w:tcBorders>
              <w:top w:val="single" w:sz="4" w:space="0" w:color="000000"/>
              <w:left w:val="single" w:sz="8" w:space="0" w:color="000000"/>
              <w:bottom w:val="single" w:sz="4" w:space="0" w:color="000000"/>
              <w:right w:val="single" w:sz="4" w:space="0" w:color="000000"/>
            </w:tcBorders>
            <w:shd w:val="clear" w:color="auto" w:fill="DDEBF7"/>
            <w:tcMar>
              <w:top w:w="15" w:type="dxa"/>
              <w:left w:w="15" w:type="dxa"/>
              <w:bottom w:w="0" w:type="dxa"/>
              <w:right w:w="15" w:type="dxa"/>
            </w:tcMar>
            <w:vAlign w:val="center"/>
            <w:hideMark/>
          </w:tcPr>
          <w:p w14:paraId="6F15FC86" w14:textId="77777777" w:rsidR="00D15E0C" w:rsidRPr="00D15E0C" w:rsidRDefault="00D15E0C" w:rsidP="00D15E0C">
            <w:pPr>
              <w:spacing w:before="0" w:after="0" w:line="240" w:lineRule="auto"/>
              <w:textAlignment w:val="center"/>
              <w:rPr>
                <w:rFonts w:ascii="Arial" w:eastAsia="Times New Roman" w:hAnsi="Arial" w:cs="Arial"/>
                <w:sz w:val="36"/>
                <w:szCs w:val="36"/>
                <w:lang w:eastAsia="en-GB"/>
              </w:rPr>
            </w:pPr>
            <w:r w:rsidRPr="00D15E0C">
              <w:rPr>
                <w:rFonts w:ascii="Arial" w:eastAsiaTheme="minorEastAsia" w:hAnsi="Arial" w:cs="Arial"/>
                <w:color w:val="000000" w:themeColor="text1"/>
                <w:kern w:val="24"/>
                <w:sz w:val="24"/>
                <w:szCs w:val="24"/>
                <w:lang w:eastAsia="en-GB"/>
              </w:rPr>
              <w:t>Data &amp; Security Protection Toolkit</w:t>
            </w:r>
          </w:p>
        </w:tc>
        <w:tc>
          <w:tcPr>
            <w:tcW w:w="3459" w:type="dxa"/>
            <w:tcBorders>
              <w:top w:val="single" w:sz="4" w:space="0" w:color="000000"/>
              <w:left w:val="single" w:sz="4" w:space="0" w:color="000000"/>
              <w:bottom w:val="single" w:sz="4" w:space="0" w:color="000000"/>
              <w:right w:val="single" w:sz="4" w:space="0" w:color="000000"/>
            </w:tcBorders>
            <w:shd w:val="clear" w:color="auto" w:fill="DDEBF7"/>
            <w:tcMar>
              <w:top w:w="15" w:type="dxa"/>
              <w:left w:w="15" w:type="dxa"/>
              <w:bottom w:w="0" w:type="dxa"/>
              <w:right w:w="15" w:type="dxa"/>
            </w:tcMar>
            <w:vAlign w:val="center"/>
            <w:hideMark/>
          </w:tcPr>
          <w:p w14:paraId="39858768" w14:textId="77777777" w:rsidR="00D15E0C" w:rsidRPr="00D15E0C" w:rsidRDefault="00D15E0C" w:rsidP="00D15E0C">
            <w:pPr>
              <w:spacing w:before="0" w:after="0" w:line="240" w:lineRule="auto"/>
              <w:textAlignment w:val="center"/>
              <w:rPr>
                <w:rFonts w:ascii="Arial" w:eastAsia="Times New Roman" w:hAnsi="Arial" w:cs="Arial"/>
                <w:sz w:val="36"/>
                <w:szCs w:val="36"/>
                <w:lang w:eastAsia="en-GB"/>
              </w:rPr>
            </w:pPr>
            <w:r w:rsidRPr="00D15E0C">
              <w:rPr>
                <w:rFonts w:ascii="Arial" w:eastAsiaTheme="minorEastAsia" w:hAnsi="Arial" w:cs="Arial"/>
                <w:color w:val="000000"/>
                <w:kern w:val="24"/>
                <w:sz w:val="24"/>
                <w:szCs w:val="24"/>
                <w:lang w:eastAsia="en-GB"/>
              </w:rPr>
              <w:t>Louise Dineley</w:t>
            </w:r>
          </w:p>
        </w:tc>
        <w:tc>
          <w:tcPr>
            <w:tcW w:w="578" w:type="dxa"/>
            <w:tcBorders>
              <w:top w:val="single" w:sz="8" w:space="0" w:color="000000"/>
              <w:left w:val="single" w:sz="4" w:space="0" w:color="000000"/>
              <w:bottom w:val="single" w:sz="8" w:space="0" w:color="000000"/>
              <w:right w:val="single" w:sz="8" w:space="0" w:color="000000"/>
            </w:tcBorders>
            <w:shd w:val="clear" w:color="auto" w:fill="E7E6E6"/>
            <w:tcMar>
              <w:top w:w="15" w:type="dxa"/>
              <w:left w:w="15" w:type="dxa"/>
              <w:bottom w:w="0" w:type="dxa"/>
              <w:right w:w="15" w:type="dxa"/>
            </w:tcMar>
            <w:vAlign w:val="center"/>
            <w:hideMark/>
          </w:tcPr>
          <w:p w14:paraId="52A87BD1" w14:textId="77777777" w:rsidR="00D15E0C" w:rsidRPr="00D15E0C" w:rsidRDefault="00D15E0C" w:rsidP="00D15E0C">
            <w:pPr>
              <w:spacing w:before="0" w:after="0" w:line="240" w:lineRule="auto"/>
              <w:rPr>
                <w:rFonts w:ascii="Arial" w:eastAsia="Times New Roman" w:hAnsi="Arial" w:cs="Arial"/>
                <w:sz w:val="36"/>
                <w:szCs w:val="36"/>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14:paraId="24A2F55E"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FF0000"/>
            <w:tcMar>
              <w:top w:w="15" w:type="dxa"/>
              <w:left w:w="15" w:type="dxa"/>
              <w:bottom w:w="0" w:type="dxa"/>
              <w:right w:w="15" w:type="dxa"/>
            </w:tcMar>
            <w:vAlign w:val="center"/>
            <w:hideMark/>
          </w:tcPr>
          <w:p w14:paraId="1AABD4F8"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FF0000"/>
            <w:tcMar>
              <w:top w:w="15" w:type="dxa"/>
              <w:left w:w="15" w:type="dxa"/>
              <w:bottom w:w="0" w:type="dxa"/>
              <w:right w:w="15" w:type="dxa"/>
            </w:tcMar>
            <w:vAlign w:val="center"/>
            <w:hideMark/>
          </w:tcPr>
          <w:p w14:paraId="4D15DBF3"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hideMark/>
          </w:tcPr>
          <w:p w14:paraId="5AA3D969"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hideMark/>
          </w:tcPr>
          <w:p w14:paraId="5AD86CB5"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3578" w:type="dxa"/>
            <w:tcBorders>
              <w:top w:val="single" w:sz="4" w:space="0" w:color="000000"/>
              <w:left w:val="single" w:sz="8" w:space="0" w:color="000000"/>
              <w:bottom w:val="single" w:sz="4" w:space="0" w:color="000000"/>
              <w:right w:val="single" w:sz="8" w:space="0" w:color="000000"/>
            </w:tcBorders>
            <w:shd w:val="clear" w:color="auto" w:fill="F5F4F7"/>
            <w:tcMar>
              <w:top w:w="15" w:type="dxa"/>
              <w:left w:w="15" w:type="dxa"/>
              <w:bottom w:w="0" w:type="dxa"/>
              <w:right w:w="15" w:type="dxa"/>
            </w:tcMar>
            <w:vAlign w:val="center"/>
            <w:hideMark/>
          </w:tcPr>
          <w:p w14:paraId="3BCF343F" w14:textId="77777777" w:rsidR="00D15E0C" w:rsidRPr="00D15E0C" w:rsidRDefault="00D15E0C" w:rsidP="00D15E0C">
            <w:pPr>
              <w:spacing w:before="0" w:after="0" w:line="240" w:lineRule="auto"/>
              <w:rPr>
                <w:rFonts w:ascii="Arial" w:eastAsia="Times New Roman" w:hAnsi="Arial" w:cs="Arial"/>
                <w:sz w:val="36"/>
                <w:szCs w:val="36"/>
                <w:lang w:eastAsia="en-GB"/>
              </w:rPr>
            </w:pPr>
            <w:r w:rsidRPr="00D15E0C">
              <w:rPr>
                <w:rFonts w:ascii="Arial" w:eastAsiaTheme="minorEastAsia" w:hAnsi="Arial" w:cs="Arial"/>
                <w:color w:val="000000"/>
                <w:kern w:val="24"/>
                <w:sz w:val="24"/>
                <w:szCs w:val="24"/>
                <w:lang w:eastAsia="en-GB"/>
              </w:rPr>
              <w:t xml:space="preserve">Project </w:t>
            </w:r>
            <w:r w:rsidRPr="00D15E0C">
              <w:rPr>
                <w:rFonts w:ascii="Arial" w:eastAsiaTheme="minorEastAsia" w:hAnsi="Arial" w:cs="Arial"/>
                <w:b/>
                <w:bCs/>
                <w:color w:val="000000"/>
                <w:kern w:val="24"/>
                <w:sz w:val="24"/>
                <w:szCs w:val="24"/>
                <w:lang w:eastAsia="en-GB"/>
              </w:rPr>
              <w:t>continues</w:t>
            </w:r>
            <w:r w:rsidRPr="00D15E0C">
              <w:rPr>
                <w:rFonts w:ascii="Arial" w:eastAsiaTheme="minorEastAsia" w:hAnsi="Arial" w:cs="Arial"/>
                <w:color w:val="000000"/>
                <w:kern w:val="24"/>
                <w:sz w:val="24"/>
                <w:szCs w:val="24"/>
                <w:lang w:eastAsia="en-GB"/>
              </w:rPr>
              <w:t xml:space="preserve"> into 23/24</w:t>
            </w:r>
          </w:p>
        </w:tc>
      </w:tr>
      <w:tr w:rsidR="0021239F" w:rsidRPr="00104633" w14:paraId="0D480564" w14:textId="77777777" w:rsidTr="00104633">
        <w:trPr>
          <w:trHeight w:val="567"/>
        </w:trPr>
        <w:tc>
          <w:tcPr>
            <w:tcW w:w="339" w:type="dxa"/>
            <w:tcBorders>
              <w:top w:val="single" w:sz="8" w:space="0" w:color="000000"/>
              <w:left w:val="single" w:sz="8" w:space="0" w:color="000000"/>
              <w:bottom w:val="single" w:sz="8" w:space="0" w:color="000000"/>
              <w:right w:val="single" w:sz="8" w:space="0" w:color="000000"/>
            </w:tcBorders>
            <w:shd w:val="clear" w:color="auto" w:fill="002060"/>
            <w:tcMar>
              <w:top w:w="15" w:type="dxa"/>
              <w:left w:w="15" w:type="dxa"/>
              <w:bottom w:w="0" w:type="dxa"/>
              <w:right w:w="15" w:type="dxa"/>
            </w:tcMar>
            <w:textDirection w:val="btLr"/>
            <w:vAlign w:val="center"/>
            <w:hideMark/>
          </w:tcPr>
          <w:p w14:paraId="798B672F" w14:textId="77777777" w:rsidR="00D15E0C" w:rsidRPr="00D15E0C" w:rsidRDefault="00D15E0C" w:rsidP="00D15E0C">
            <w:pPr>
              <w:spacing w:before="0" w:after="0" w:line="240" w:lineRule="auto"/>
              <w:rPr>
                <w:rFonts w:ascii="Arial" w:eastAsia="Times New Roman" w:hAnsi="Arial" w:cs="Arial"/>
                <w:sz w:val="36"/>
                <w:szCs w:val="36"/>
                <w:lang w:eastAsia="en-GB"/>
              </w:rPr>
            </w:pPr>
          </w:p>
        </w:tc>
        <w:tc>
          <w:tcPr>
            <w:tcW w:w="4040" w:type="dxa"/>
            <w:tcBorders>
              <w:top w:val="single" w:sz="4" w:space="0" w:color="000000"/>
              <w:left w:val="single" w:sz="8" w:space="0" w:color="000000"/>
              <w:bottom w:val="single" w:sz="8" w:space="0" w:color="43165E"/>
              <w:right w:val="single" w:sz="4" w:space="0" w:color="000000"/>
            </w:tcBorders>
            <w:shd w:val="clear" w:color="auto" w:fill="DDEBF7"/>
            <w:tcMar>
              <w:top w:w="15" w:type="dxa"/>
              <w:left w:w="15" w:type="dxa"/>
              <w:bottom w:w="0" w:type="dxa"/>
              <w:right w:w="15" w:type="dxa"/>
            </w:tcMar>
            <w:vAlign w:val="center"/>
            <w:hideMark/>
          </w:tcPr>
          <w:p w14:paraId="740263EB" w14:textId="77777777" w:rsidR="00D15E0C" w:rsidRPr="00D15E0C" w:rsidRDefault="00D15E0C" w:rsidP="00D15E0C">
            <w:pPr>
              <w:spacing w:before="0" w:after="0" w:line="240" w:lineRule="auto"/>
              <w:textAlignment w:val="center"/>
              <w:rPr>
                <w:rFonts w:ascii="Arial" w:eastAsia="Times New Roman" w:hAnsi="Arial" w:cs="Arial"/>
                <w:sz w:val="36"/>
                <w:szCs w:val="36"/>
                <w:lang w:eastAsia="en-GB"/>
              </w:rPr>
            </w:pPr>
            <w:r w:rsidRPr="00D15E0C">
              <w:rPr>
                <w:rFonts w:ascii="Arial" w:eastAsiaTheme="minorEastAsia" w:hAnsi="Arial" w:cs="Arial"/>
                <w:color w:val="000000"/>
                <w:kern w:val="24"/>
                <w:sz w:val="24"/>
                <w:szCs w:val="24"/>
                <w:lang w:eastAsia="en-GB"/>
              </w:rPr>
              <w:t>Explore RIMI</w:t>
            </w:r>
          </w:p>
        </w:tc>
        <w:tc>
          <w:tcPr>
            <w:tcW w:w="3459" w:type="dxa"/>
            <w:tcBorders>
              <w:top w:val="single" w:sz="4" w:space="0" w:color="000000"/>
              <w:left w:val="single" w:sz="4" w:space="0" w:color="000000"/>
              <w:bottom w:val="single" w:sz="8" w:space="0" w:color="43165E"/>
              <w:right w:val="single" w:sz="4" w:space="0" w:color="000000"/>
            </w:tcBorders>
            <w:shd w:val="clear" w:color="auto" w:fill="DDEBF7"/>
            <w:tcMar>
              <w:top w:w="15" w:type="dxa"/>
              <w:left w:w="15" w:type="dxa"/>
              <w:bottom w:w="0" w:type="dxa"/>
              <w:right w:w="15" w:type="dxa"/>
            </w:tcMar>
            <w:vAlign w:val="center"/>
            <w:hideMark/>
          </w:tcPr>
          <w:p w14:paraId="1AC0134D" w14:textId="77777777" w:rsidR="00D15E0C" w:rsidRPr="00D15E0C" w:rsidRDefault="00D15E0C" w:rsidP="00D15E0C">
            <w:pPr>
              <w:spacing w:before="0" w:after="0" w:line="240" w:lineRule="auto"/>
              <w:textAlignment w:val="center"/>
              <w:rPr>
                <w:rFonts w:ascii="Arial" w:eastAsia="Times New Roman" w:hAnsi="Arial" w:cs="Arial"/>
                <w:sz w:val="36"/>
                <w:szCs w:val="36"/>
                <w:lang w:eastAsia="en-GB"/>
              </w:rPr>
            </w:pPr>
            <w:r w:rsidRPr="00D15E0C">
              <w:rPr>
                <w:rFonts w:ascii="Arial" w:eastAsiaTheme="minorEastAsia" w:hAnsi="Arial" w:cs="Arial"/>
                <w:color w:val="000000"/>
                <w:kern w:val="24"/>
                <w:sz w:val="24"/>
                <w:szCs w:val="24"/>
                <w:lang w:eastAsia="en-GB"/>
              </w:rPr>
              <w:t>Louise Dineley</w:t>
            </w:r>
          </w:p>
        </w:tc>
        <w:tc>
          <w:tcPr>
            <w:tcW w:w="578" w:type="dxa"/>
            <w:tcBorders>
              <w:top w:val="single" w:sz="8" w:space="0" w:color="000000"/>
              <w:left w:val="single" w:sz="4" w:space="0" w:color="000000"/>
              <w:bottom w:val="single" w:sz="8" w:space="0" w:color="000000"/>
              <w:right w:val="single" w:sz="8" w:space="0" w:color="000000"/>
            </w:tcBorders>
            <w:shd w:val="clear" w:color="auto" w:fill="E7E6E6"/>
            <w:tcMar>
              <w:top w:w="15" w:type="dxa"/>
              <w:left w:w="15" w:type="dxa"/>
              <w:bottom w:w="0" w:type="dxa"/>
              <w:right w:w="15" w:type="dxa"/>
            </w:tcMar>
            <w:vAlign w:val="center"/>
            <w:hideMark/>
          </w:tcPr>
          <w:p w14:paraId="55B13E39" w14:textId="77777777" w:rsidR="00D15E0C" w:rsidRPr="00D15E0C" w:rsidRDefault="00D15E0C" w:rsidP="00D15E0C">
            <w:pPr>
              <w:spacing w:before="0" w:after="0" w:line="240" w:lineRule="auto"/>
              <w:rPr>
                <w:rFonts w:ascii="Arial" w:eastAsia="Times New Roman" w:hAnsi="Arial" w:cs="Arial"/>
                <w:sz w:val="36"/>
                <w:szCs w:val="36"/>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FF0000"/>
            <w:tcMar>
              <w:top w:w="15" w:type="dxa"/>
              <w:left w:w="15" w:type="dxa"/>
              <w:bottom w:w="0" w:type="dxa"/>
              <w:right w:w="15" w:type="dxa"/>
            </w:tcMar>
            <w:vAlign w:val="center"/>
            <w:hideMark/>
          </w:tcPr>
          <w:p w14:paraId="0BACF4F7"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hideMark/>
          </w:tcPr>
          <w:p w14:paraId="053E5C8F"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hideMark/>
          </w:tcPr>
          <w:p w14:paraId="44718F99"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hideMark/>
          </w:tcPr>
          <w:p w14:paraId="539EBC85"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hideMark/>
          </w:tcPr>
          <w:p w14:paraId="0BB30F4A"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3578" w:type="dxa"/>
            <w:tcBorders>
              <w:top w:val="single" w:sz="4" w:space="0" w:color="000000"/>
              <w:left w:val="single" w:sz="8" w:space="0" w:color="000000"/>
              <w:bottom w:val="single" w:sz="4" w:space="0" w:color="000000"/>
              <w:right w:val="single" w:sz="8" w:space="0" w:color="000000"/>
            </w:tcBorders>
            <w:shd w:val="clear" w:color="auto" w:fill="F5F4F7"/>
            <w:tcMar>
              <w:top w:w="15" w:type="dxa"/>
              <w:left w:w="15" w:type="dxa"/>
              <w:bottom w:w="0" w:type="dxa"/>
              <w:right w:w="15" w:type="dxa"/>
            </w:tcMar>
            <w:vAlign w:val="center"/>
            <w:hideMark/>
          </w:tcPr>
          <w:p w14:paraId="6F5E3C9B" w14:textId="77777777" w:rsidR="00D15E0C" w:rsidRPr="00D15E0C" w:rsidRDefault="00D15E0C" w:rsidP="00D15E0C">
            <w:pPr>
              <w:spacing w:before="0" w:after="0" w:line="240" w:lineRule="auto"/>
              <w:rPr>
                <w:rFonts w:ascii="Arial" w:eastAsia="Times New Roman" w:hAnsi="Arial" w:cs="Arial"/>
                <w:sz w:val="36"/>
                <w:szCs w:val="36"/>
                <w:lang w:eastAsia="en-GB"/>
              </w:rPr>
            </w:pPr>
            <w:r w:rsidRPr="00D15E0C">
              <w:rPr>
                <w:rFonts w:ascii="Arial" w:eastAsiaTheme="minorEastAsia" w:hAnsi="Arial" w:cs="Arial"/>
                <w:color w:val="000000"/>
                <w:kern w:val="24"/>
                <w:sz w:val="24"/>
                <w:szCs w:val="24"/>
                <w:lang w:eastAsia="en-GB"/>
              </w:rPr>
              <w:t xml:space="preserve">Project </w:t>
            </w:r>
            <w:r w:rsidRPr="00D15E0C">
              <w:rPr>
                <w:rFonts w:ascii="Arial" w:eastAsiaTheme="minorEastAsia" w:hAnsi="Arial" w:cs="Arial"/>
                <w:b/>
                <w:bCs/>
                <w:color w:val="000000"/>
                <w:kern w:val="24"/>
                <w:sz w:val="24"/>
                <w:szCs w:val="24"/>
                <w:lang w:eastAsia="en-GB"/>
              </w:rPr>
              <w:t>continues</w:t>
            </w:r>
            <w:r w:rsidRPr="00D15E0C">
              <w:rPr>
                <w:rFonts w:ascii="Arial" w:eastAsiaTheme="minorEastAsia" w:hAnsi="Arial" w:cs="Arial"/>
                <w:color w:val="000000"/>
                <w:kern w:val="24"/>
                <w:sz w:val="24"/>
                <w:szCs w:val="24"/>
                <w:lang w:eastAsia="en-GB"/>
              </w:rPr>
              <w:t xml:space="preserve"> into 23/24</w:t>
            </w:r>
          </w:p>
        </w:tc>
      </w:tr>
      <w:tr w:rsidR="0021239F" w:rsidRPr="00104633" w14:paraId="1A0B447B" w14:textId="77777777" w:rsidTr="00104633">
        <w:trPr>
          <w:trHeight w:val="567"/>
        </w:trPr>
        <w:tc>
          <w:tcPr>
            <w:tcW w:w="339" w:type="dxa"/>
            <w:tcBorders>
              <w:top w:val="single" w:sz="8" w:space="0" w:color="000000"/>
              <w:left w:val="single" w:sz="8" w:space="0" w:color="000000"/>
              <w:bottom w:val="single" w:sz="8" w:space="0" w:color="000000"/>
              <w:right w:val="single" w:sz="8" w:space="0" w:color="000000"/>
            </w:tcBorders>
            <w:shd w:val="clear" w:color="auto" w:fill="7030A0"/>
            <w:tcMar>
              <w:top w:w="15" w:type="dxa"/>
              <w:left w:w="15" w:type="dxa"/>
              <w:bottom w:w="0" w:type="dxa"/>
              <w:right w:w="15" w:type="dxa"/>
            </w:tcMar>
            <w:textDirection w:val="btLr"/>
            <w:vAlign w:val="center"/>
            <w:hideMark/>
          </w:tcPr>
          <w:p w14:paraId="1F038334" w14:textId="77777777" w:rsidR="00D15E0C" w:rsidRPr="00D15E0C" w:rsidRDefault="00D15E0C" w:rsidP="00D15E0C">
            <w:pPr>
              <w:spacing w:before="0" w:after="0" w:line="240" w:lineRule="auto"/>
              <w:jc w:val="center"/>
              <w:textAlignment w:val="center"/>
              <w:rPr>
                <w:rFonts w:ascii="Arial" w:eastAsia="Times New Roman" w:hAnsi="Arial" w:cs="Arial"/>
                <w:sz w:val="36"/>
                <w:szCs w:val="36"/>
                <w:lang w:eastAsia="en-GB"/>
              </w:rPr>
            </w:pPr>
            <w:r w:rsidRPr="00D15E0C">
              <w:rPr>
                <w:rFonts w:ascii="Arial" w:eastAsia="Times New Roman" w:hAnsi="Arial" w:cs="Arial"/>
                <w:b/>
                <w:bCs/>
                <w:color w:val="FFFFFF"/>
                <w:kern w:val="24"/>
                <w:sz w:val="24"/>
                <w:szCs w:val="24"/>
                <w:lang w:eastAsia="en-GB"/>
              </w:rPr>
              <w:t>All</w:t>
            </w:r>
          </w:p>
        </w:tc>
        <w:tc>
          <w:tcPr>
            <w:tcW w:w="4040" w:type="dxa"/>
            <w:tcBorders>
              <w:top w:val="single" w:sz="8" w:space="0" w:color="43165E"/>
              <w:left w:val="single" w:sz="8" w:space="0" w:color="000000"/>
              <w:bottom w:val="single" w:sz="8" w:space="0" w:color="000000"/>
              <w:right w:val="single" w:sz="4" w:space="0" w:color="000000"/>
            </w:tcBorders>
            <w:shd w:val="clear" w:color="auto" w:fill="CCCCFF"/>
            <w:tcMar>
              <w:top w:w="15" w:type="dxa"/>
              <w:left w:w="15" w:type="dxa"/>
              <w:bottom w:w="0" w:type="dxa"/>
              <w:right w:w="15" w:type="dxa"/>
            </w:tcMar>
            <w:vAlign w:val="center"/>
            <w:hideMark/>
          </w:tcPr>
          <w:p w14:paraId="64CD2C5E" w14:textId="77777777" w:rsidR="00D15E0C" w:rsidRPr="00D15E0C" w:rsidRDefault="00D15E0C" w:rsidP="00D15E0C">
            <w:pPr>
              <w:spacing w:before="0" w:after="0" w:line="240" w:lineRule="auto"/>
              <w:textAlignment w:val="center"/>
              <w:rPr>
                <w:rFonts w:ascii="Arial" w:eastAsia="Times New Roman" w:hAnsi="Arial" w:cs="Arial"/>
                <w:sz w:val="36"/>
                <w:szCs w:val="36"/>
                <w:lang w:eastAsia="en-GB"/>
              </w:rPr>
            </w:pPr>
            <w:r w:rsidRPr="00D15E0C">
              <w:rPr>
                <w:rFonts w:ascii="Arial" w:eastAsia="Times New Roman" w:hAnsi="Arial" w:cs="Arial"/>
                <w:color w:val="000000"/>
                <w:kern w:val="24"/>
                <w:sz w:val="24"/>
                <w:szCs w:val="24"/>
                <w:lang w:eastAsia="en-GB"/>
              </w:rPr>
              <w:t>Portfolio</w:t>
            </w:r>
          </w:p>
        </w:tc>
        <w:tc>
          <w:tcPr>
            <w:tcW w:w="3459" w:type="dxa"/>
            <w:tcBorders>
              <w:top w:val="single" w:sz="8" w:space="0" w:color="43165E"/>
              <w:left w:val="single" w:sz="4" w:space="0" w:color="000000"/>
              <w:bottom w:val="single" w:sz="8" w:space="0" w:color="000000"/>
              <w:right w:val="single" w:sz="4" w:space="0" w:color="000000"/>
            </w:tcBorders>
            <w:shd w:val="clear" w:color="auto" w:fill="CCCCFF"/>
            <w:tcMar>
              <w:top w:w="15" w:type="dxa"/>
              <w:left w:w="15" w:type="dxa"/>
              <w:bottom w:w="0" w:type="dxa"/>
              <w:right w:w="15" w:type="dxa"/>
            </w:tcMar>
            <w:vAlign w:val="center"/>
            <w:hideMark/>
          </w:tcPr>
          <w:p w14:paraId="2E2C011E" w14:textId="77777777" w:rsidR="00D15E0C" w:rsidRPr="00D15E0C" w:rsidRDefault="00D15E0C" w:rsidP="00D15E0C">
            <w:pPr>
              <w:spacing w:before="0" w:after="0" w:line="240" w:lineRule="auto"/>
              <w:textAlignment w:val="center"/>
              <w:rPr>
                <w:rFonts w:ascii="Arial" w:eastAsia="Times New Roman" w:hAnsi="Arial" w:cs="Arial"/>
                <w:sz w:val="36"/>
                <w:szCs w:val="36"/>
                <w:lang w:eastAsia="en-GB"/>
              </w:rPr>
            </w:pPr>
            <w:r w:rsidRPr="00D15E0C">
              <w:rPr>
                <w:rFonts w:ascii="Arial" w:eastAsia="Times New Roman" w:hAnsi="Arial" w:cs="Arial"/>
                <w:color w:val="000000"/>
                <w:kern w:val="24"/>
                <w:sz w:val="24"/>
                <w:szCs w:val="24"/>
                <w:lang w:eastAsia="en-GB"/>
              </w:rPr>
              <w:t>All SMT</w:t>
            </w:r>
          </w:p>
        </w:tc>
        <w:tc>
          <w:tcPr>
            <w:tcW w:w="578" w:type="dxa"/>
            <w:tcBorders>
              <w:top w:val="single" w:sz="8" w:space="0" w:color="000000"/>
              <w:left w:val="single" w:sz="4" w:space="0" w:color="000000"/>
              <w:bottom w:val="single" w:sz="8" w:space="0" w:color="000000"/>
              <w:right w:val="single" w:sz="8" w:space="0" w:color="000000"/>
            </w:tcBorders>
            <w:shd w:val="clear" w:color="auto" w:fill="FFC000"/>
            <w:tcMar>
              <w:top w:w="15" w:type="dxa"/>
              <w:left w:w="15" w:type="dxa"/>
              <w:bottom w:w="0" w:type="dxa"/>
              <w:right w:w="15" w:type="dxa"/>
            </w:tcMar>
            <w:vAlign w:val="center"/>
            <w:hideMark/>
          </w:tcPr>
          <w:p w14:paraId="6933B61C" w14:textId="77777777" w:rsidR="00D15E0C" w:rsidRPr="00D15E0C" w:rsidRDefault="00D15E0C" w:rsidP="00D15E0C">
            <w:pPr>
              <w:spacing w:before="0" w:after="0" w:line="240" w:lineRule="auto"/>
              <w:rPr>
                <w:rFonts w:ascii="Arial" w:eastAsia="Times New Roman" w:hAnsi="Arial" w:cs="Arial"/>
                <w:sz w:val="36"/>
                <w:szCs w:val="36"/>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hideMark/>
          </w:tcPr>
          <w:p w14:paraId="7FDE44AF"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hideMark/>
          </w:tcPr>
          <w:p w14:paraId="0CFDD8BA"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hideMark/>
          </w:tcPr>
          <w:p w14:paraId="01700176"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hideMark/>
          </w:tcPr>
          <w:p w14:paraId="40F4AD96"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57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hideMark/>
          </w:tcPr>
          <w:p w14:paraId="05B4234C" w14:textId="77777777" w:rsidR="00D15E0C" w:rsidRPr="00D15E0C" w:rsidRDefault="00D15E0C" w:rsidP="00D15E0C">
            <w:pPr>
              <w:spacing w:before="0" w:after="0" w:line="240" w:lineRule="auto"/>
              <w:rPr>
                <w:rFonts w:ascii="Arial" w:eastAsia="Times New Roman" w:hAnsi="Arial" w:cs="Arial"/>
                <w:sz w:val="20"/>
                <w:szCs w:val="20"/>
                <w:lang w:eastAsia="en-GB"/>
              </w:rPr>
            </w:pPr>
          </w:p>
        </w:tc>
        <w:tc>
          <w:tcPr>
            <w:tcW w:w="3578" w:type="dxa"/>
            <w:tcBorders>
              <w:top w:val="single" w:sz="4" w:space="0" w:color="000000"/>
              <w:left w:val="single" w:sz="8" w:space="0" w:color="000000"/>
              <w:bottom w:val="single" w:sz="8" w:space="0" w:color="000000"/>
              <w:right w:val="single" w:sz="8" w:space="0" w:color="000000"/>
            </w:tcBorders>
            <w:shd w:val="clear" w:color="auto" w:fill="F5F4F7"/>
            <w:tcMar>
              <w:top w:w="15" w:type="dxa"/>
              <w:left w:w="15" w:type="dxa"/>
              <w:bottom w:w="0" w:type="dxa"/>
              <w:right w:w="15" w:type="dxa"/>
            </w:tcMar>
            <w:vAlign w:val="center"/>
            <w:hideMark/>
          </w:tcPr>
          <w:p w14:paraId="6ABAC458" w14:textId="77777777" w:rsidR="00D15E0C" w:rsidRPr="00D15E0C" w:rsidRDefault="00D15E0C" w:rsidP="00D15E0C">
            <w:pPr>
              <w:spacing w:before="0" w:after="0" w:line="240" w:lineRule="auto"/>
              <w:textAlignment w:val="center"/>
              <w:rPr>
                <w:rFonts w:ascii="Arial" w:eastAsia="Times New Roman" w:hAnsi="Arial" w:cs="Arial"/>
                <w:sz w:val="36"/>
                <w:szCs w:val="36"/>
                <w:lang w:eastAsia="en-GB"/>
              </w:rPr>
            </w:pPr>
            <w:r w:rsidRPr="00D15E0C">
              <w:rPr>
                <w:rFonts w:ascii="Arial" w:eastAsiaTheme="minorEastAsia" w:hAnsi="Arial" w:cs="Arial"/>
                <w:color w:val="000000" w:themeColor="text1"/>
                <w:kern w:val="24"/>
                <w:sz w:val="24"/>
                <w:szCs w:val="24"/>
                <w:lang w:eastAsia="en-GB"/>
              </w:rPr>
              <w:t>Slippage largely due to capacity constraints</w:t>
            </w:r>
          </w:p>
        </w:tc>
      </w:tr>
    </w:tbl>
    <w:p w14:paraId="4483CC58" w14:textId="77777777" w:rsidR="00CA04B3" w:rsidRDefault="00CA04B3" w:rsidP="003C06AD">
      <w:pPr>
        <w:pStyle w:val="NumberedlistHTA"/>
        <w:numPr>
          <w:ilvl w:val="0"/>
          <w:numId w:val="0"/>
        </w:numPr>
        <w:spacing w:after="160"/>
        <w:rPr>
          <w:b/>
          <w:bCs/>
        </w:rPr>
      </w:pPr>
    </w:p>
    <w:p w14:paraId="7F66381F" w14:textId="6251FE9E" w:rsidR="002C0E2A" w:rsidRDefault="002C0E2A" w:rsidP="003C06AD">
      <w:pPr>
        <w:pStyle w:val="NumberedlistHTA"/>
        <w:numPr>
          <w:ilvl w:val="0"/>
          <w:numId w:val="0"/>
        </w:numPr>
        <w:spacing w:after="160"/>
        <w:rPr>
          <w:b/>
          <w:bCs/>
        </w:rPr>
      </w:pPr>
    </w:p>
    <w:p w14:paraId="57B9F8C2" w14:textId="77777777" w:rsidR="00B101CE" w:rsidRDefault="00B101CE" w:rsidP="003C06AD">
      <w:pPr>
        <w:pStyle w:val="NumberedlistHTA"/>
        <w:numPr>
          <w:ilvl w:val="0"/>
          <w:numId w:val="0"/>
        </w:numPr>
        <w:spacing w:after="160"/>
        <w:rPr>
          <w:b/>
          <w:bCs/>
        </w:rPr>
      </w:pPr>
    </w:p>
    <w:p w14:paraId="6CCBED75" w14:textId="77777777" w:rsidR="00B101CE" w:rsidRDefault="00B101CE" w:rsidP="003C06AD">
      <w:pPr>
        <w:pStyle w:val="NumberedlistHTA"/>
        <w:numPr>
          <w:ilvl w:val="0"/>
          <w:numId w:val="0"/>
        </w:numPr>
        <w:spacing w:after="160"/>
        <w:rPr>
          <w:b/>
          <w:bCs/>
        </w:rPr>
      </w:pPr>
    </w:p>
    <w:p w14:paraId="33687D41" w14:textId="77777777" w:rsidR="00B101CE" w:rsidRDefault="00B101CE" w:rsidP="003C06AD">
      <w:pPr>
        <w:pStyle w:val="NumberedlistHTA"/>
        <w:numPr>
          <w:ilvl w:val="0"/>
          <w:numId w:val="0"/>
        </w:numPr>
        <w:spacing w:after="160"/>
        <w:rPr>
          <w:b/>
          <w:bCs/>
        </w:rPr>
      </w:pPr>
    </w:p>
    <w:p w14:paraId="0D4D3F24" w14:textId="77777777" w:rsidR="00B101CE" w:rsidRDefault="00B101CE" w:rsidP="003C06AD">
      <w:pPr>
        <w:pStyle w:val="NumberedlistHTA"/>
        <w:numPr>
          <w:ilvl w:val="0"/>
          <w:numId w:val="0"/>
        </w:numPr>
        <w:spacing w:after="160"/>
        <w:rPr>
          <w:b/>
          <w:bCs/>
        </w:rPr>
      </w:pPr>
    </w:p>
    <w:p w14:paraId="1A48E9F1" w14:textId="77777777" w:rsidR="00B101CE" w:rsidRDefault="00B101CE" w:rsidP="003C06AD">
      <w:pPr>
        <w:pStyle w:val="NumberedlistHTA"/>
        <w:numPr>
          <w:ilvl w:val="0"/>
          <w:numId w:val="0"/>
        </w:numPr>
        <w:spacing w:after="160"/>
        <w:rPr>
          <w:b/>
          <w:bCs/>
        </w:rPr>
      </w:pPr>
    </w:p>
    <w:p w14:paraId="0B4A02BE" w14:textId="77777777" w:rsidR="00B101CE" w:rsidRDefault="00B101CE" w:rsidP="003C06AD">
      <w:pPr>
        <w:pStyle w:val="NumberedlistHTA"/>
        <w:numPr>
          <w:ilvl w:val="0"/>
          <w:numId w:val="0"/>
        </w:numPr>
        <w:spacing w:after="160"/>
        <w:rPr>
          <w:b/>
          <w:bCs/>
        </w:rPr>
      </w:pPr>
    </w:p>
    <w:p w14:paraId="1335998E" w14:textId="77777777" w:rsidR="00B101CE" w:rsidRDefault="00B101CE" w:rsidP="003C06AD">
      <w:pPr>
        <w:pStyle w:val="NumberedlistHTA"/>
        <w:numPr>
          <w:ilvl w:val="0"/>
          <w:numId w:val="0"/>
        </w:numPr>
        <w:spacing w:after="160"/>
        <w:rPr>
          <w:b/>
          <w:bCs/>
        </w:rPr>
      </w:pPr>
    </w:p>
    <w:p w14:paraId="523D2A42" w14:textId="77777777" w:rsidR="00B101CE" w:rsidRDefault="00B101CE" w:rsidP="003C06AD">
      <w:pPr>
        <w:pStyle w:val="NumberedlistHTA"/>
        <w:numPr>
          <w:ilvl w:val="0"/>
          <w:numId w:val="0"/>
        </w:numPr>
        <w:spacing w:after="160"/>
        <w:rPr>
          <w:b/>
          <w:bCs/>
        </w:rPr>
      </w:pPr>
    </w:p>
    <w:p w14:paraId="60DB59BC" w14:textId="77777777" w:rsidR="00B101CE" w:rsidRDefault="00B101CE" w:rsidP="003C06AD">
      <w:pPr>
        <w:pStyle w:val="NumberedlistHTA"/>
        <w:numPr>
          <w:ilvl w:val="0"/>
          <w:numId w:val="0"/>
        </w:numPr>
        <w:spacing w:after="160"/>
        <w:rPr>
          <w:b/>
          <w:bCs/>
        </w:rPr>
      </w:pPr>
    </w:p>
    <w:p w14:paraId="78E424AB" w14:textId="77777777" w:rsidR="00B101CE" w:rsidRDefault="00B101CE" w:rsidP="003C06AD">
      <w:pPr>
        <w:pStyle w:val="NumberedlistHTA"/>
        <w:numPr>
          <w:ilvl w:val="0"/>
          <w:numId w:val="0"/>
        </w:numPr>
        <w:spacing w:after="160"/>
        <w:rPr>
          <w:b/>
          <w:bCs/>
        </w:rPr>
      </w:pPr>
    </w:p>
    <w:p w14:paraId="6AD7976A" w14:textId="77777777" w:rsidR="00B101CE" w:rsidRDefault="00B101CE" w:rsidP="003C06AD">
      <w:pPr>
        <w:pStyle w:val="NumberedlistHTA"/>
        <w:numPr>
          <w:ilvl w:val="0"/>
          <w:numId w:val="0"/>
        </w:numPr>
        <w:spacing w:after="160"/>
        <w:rPr>
          <w:b/>
          <w:bCs/>
        </w:rPr>
      </w:pPr>
    </w:p>
    <w:p w14:paraId="6FFF19F8" w14:textId="77777777" w:rsidR="00B101CE" w:rsidRDefault="00B101CE" w:rsidP="003C06AD">
      <w:pPr>
        <w:pStyle w:val="NumberedlistHTA"/>
        <w:numPr>
          <w:ilvl w:val="0"/>
          <w:numId w:val="0"/>
        </w:numPr>
        <w:spacing w:after="160"/>
        <w:rPr>
          <w:b/>
          <w:bCs/>
        </w:rPr>
      </w:pPr>
    </w:p>
    <w:p w14:paraId="58BAAA76" w14:textId="77777777" w:rsidR="00B101CE" w:rsidRDefault="00B101CE" w:rsidP="003C06AD">
      <w:pPr>
        <w:pStyle w:val="NumberedlistHTA"/>
        <w:numPr>
          <w:ilvl w:val="0"/>
          <w:numId w:val="0"/>
        </w:numPr>
        <w:spacing w:after="160"/>
        <w:rPr>
          <w:b/>
          <w:bCs/>
        </w:rPr>
      </w:pPr>
    </w:p>
    <w:p w14:paraId="53F06360" w14:textId="350CDCCE" w:rsidR="002C0E2A" w:rsidRDefault="002C0E2A" w:rsidP="003C06AD">
      <w:pPr>
        <w:pStyle w:val="NumberedlistHTA"/>
        <w:numPr>
          <w:ilvl w:val="0"/>
          <w:numId w:val="0"/>
        </w:numPr>
        <w:spacing w:after="160"/>
        <w:rPr>
          <w:b/>
          <w:bCs/>
        </w:rPr>
      </w:pPr>
    </w:p>
    <w:p w14:paraId="3A2737B9" w14:textId="77777777" w:rsidR="00C245BC" w:rsidRDefault="00A437C9" w:rsidP="00B43974">
      <w:pPr>
        <w:pStyle w:val="NumberedlistHTA"/>
        <w:numPr>
          <w:ilvl w:val="0"/>
          <w:numId w:val="0"/>
        </w:numPr>
        <w:spacing w:after="160"/>
        <w:ind w:left="720"/>
        <w:rPr>
          <w:b/>
          <w:bCs/>
        </w:rPr>
      </w:pPr>
      <w:r w:rsidRPr="00391A75">
        <w:rPr>
          <w:b/>
          <w:bCs/>
        </w:rPr>
        <w:t xml:space="preserve">Annex </w:t>
      </w:r>
      <w:r>
        <w:rPr>
          <w:b/>
          <w:bCs/>
        </w:rPr>
        <w:t>B – Latest Board Data Overview</w:t>
      </w:r>
      <w:r w:rsidR="00C245BC">
        <w:rPr>
          <w:b/>
          <w:bCs/>
        </w:rPr>
        <w:t>,</w:t>
      </w:r>
      <w:r w:rsidR="00B43974">
        <w:rPr>
          <w:b/>
          <w:bCs/>
        </w:rPr>
        <w:t xml:space="preserve"> </w:t>
      </w:r>
      <w:r w:rsidR="00F04D6A">
        <w:rPr>
          <w:b/>
          <w:bCs/>
        </w:rPr>
        <w:t>23/24 Latest Position</w:t>
      </w:r>
      <w:r w:rsidR="00457353">
        <w:rPr>
          <w:b/>
          <w:bCs/>
        </w:rPr>
        <w:t xml:space="preserve"> </w:t>
      </w:r>
    </w:p>
    <w:p w14:paraId="28BB7D30" w14:textId="3628112A" w:rsidR="00A10E5F" w:rsidRDefault="00F04D6A" w:rsidP="00B43974">
      <w:pPr>
        <w:pStyle w:val="NumberedlistHTA"/>
        <w:numPr>
          <w:ilvl w:val="0"/>
          <w:numId w:val="0"/>
        </w:numPr>
        <w:spacing w:after="160"/>
        <w:ind w:left="720"/>
        <w:rPr>
          <w:b/>
          <w:bCs/>
        </w:rPr>
      </w:pPr>
      <w:r>
        <w:rPr>
          <w:b/>
          <w:bCs/>
        </w:rPr>
        <w:t>Core Operatio</w:t>
      </w:r>
      <w:r w:rsidR="00765905">
        <w:rPr>
          <w:b/>
          <w:bCs/>
        </w:rPr>
        <w:t>ns</w:t>
      </w:r>
      <w:r w:rsidR="006975A7" w:rsidRPr="006975A7">
        <w:rPr>
          <w:b/>
          <w:bCs/>
          <w:noProof/>
        </w:rPr>
        <w:drawing>
          <wp:inline distT="0" distB="0" distL="0" distR="0" wp14:anchorId="47CB6A5B" wp14:editId="53540423">
            <wp:extent cx="8046971" cy="459105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pic:cNvPicPr>
                  </pic:nvPicPr>
                  <pic:blipFill>
                    <a:blip r:embed="rId15"/>
                    <a:stretch>
                      <a:fillRect/>
                    </a:stretch>
                  </pic:blipFill>
                  <pic:spPr>
                    <a:xfrm>
                      <a:off x="0" y="0"/>
                      <a:ext cx="8066776" cy="4602349"/>
                    </a:xfrm>
                    <a:prstGeom prst="rect">
                      <a:avLst/>
                    </a:prstGeom>
                    <a:noFill/>
                  </pic:spPr>
                </pic:pic>
              </a:graphicData>
            </a:graphic>
          </wp:inline>
        </w:drawing>
      </w:r>
    </w:p>
    <w:p w14:paraId="1E6D210D" w14:textId="77777777" w:rsidR="005417B8" w:rsidRDefault="005417B8" w:rsidP="00F04D6A">
      <w:pPr>
        <w:pStyle w:val="NumberedlistHTA"/>
        <w:numPr>
          <w:ilvl w:val="0"/>
          <w:numId w:val="0"/>
        </w:numPr>
        <w:spacing w:after="160"/>
        <w:rPr>
          <w:b/>
          <w:bCs/>
        </w:rPr>
      </w:pPr>
    </w:p>
    <w:p w14:paraId="7B0AFE7E" w14:textId="7DBB8869" w:rsidR="00390D70" w:rsidRDefault="001E0DE7" w:rsidP="00F04D6A">
      <w:pPr>
        <w:pStyle w:val="NumberedlistHTA"/>
        <w:numPr>
          <w:ilvl w:val="0"/>
          <w:numId w:val="0"/>
        </w:numPr>
        <w:spacing w:after="160"/>
        <w:rPr>
          <w:b/>
          <w:bCs/>
        </w:rPr>
      </w:pPr>
      <w:r w:rsidRPr="001E0DE7">
        <w:rPr>
          <w:b/>
          <w:bCs/>
          <w:noProof/>
        </w:rPr>
        <w:drawing>
          <wp:inline distT="0" distB="0" distL="0" distR="0" wp14:anchorId="4812B565" wp14:editId="592F97CB">
            <wp:extent cx="8430895" cy="4810125"/>
            <wp:effectExtent l="0" t="0" r="8255"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455200" cy="4823958"/>
                    </a:xfrm>
                    <a:prstGeom prst="rect">
                      <a:avLst/>
                    </a:prstGeom>
                    <a:noFill/>
                  </pic:spPr>
                </pic:pic>
              </a:graphicData>
            </a:graphic>
          </wp:inline>
        </w:drawing>
      </w:r>
    </w:p>
    <w:p w14:paraId="0433B259" w14:textId="77777777" w:rsidR="005A4BE1" w:rsidRDefault="005A4BE1" w:rsidP="00F04D6A">
      <w:pPr>
        <w:pStyle w:val="NumberedlistHTA"/>
        <w:numPr>
          <w:ilvl w:val="0"/>
          <w:numId w:val="0"/>
        </w:numPr>
        <w:spacing w:after="160"/>
        <w:rPr>
          <w:b/>
          <w:bCs/>
        </w:rPr>
      </w:pPr>
    </w:p>
    <w:p w14:paraId="0D2F0FA0" w14:textId="77777777" w:rsidR="00777B37" w:rsidRDefault="00777B37" w:rsidP="00F04D6A">
      <w:pPr>
        <w:pStyle w:val="NumberedlistHTA"/>
        <w:numPr>
          <w:ilvl w:val="0"/>
          <w:numId w:val="0"/>
        </w:numPr>
        <w:spacing w:after="160"/>
        <w:rPr>
          <w:b/>
          <w:bCs/>
        </w:rPr>
      </w:pPr>
    </w:p>
    <w:p w14:paraId="3BB6CC26" w14:textId="46562465" w:rsidR="00F04D6A" w:rsidRDefault="00F04D6A" w:rsidP="00E674B5">
      <w:pPr>
        <w:pStyle w:val="NumberedlistHTA"/>
        <w:numPr>
          <w:ilvl w:val="0"/>
          <w:numId w:val="0"/>
        </w:numPr>
        <w:spacing w:after="160"/>
        <w:rPr>
          <w:b/>
          <w:bCs/>
        </w:rPr>
      </w:pPr>
      <w:r>
        <w:rPr>
          <w:b/>
          <w:bCs/>
        </w:rPr>
        <w:t>Change Activities</w:t>
      </w:r>
    </w:p>
    <w:p w14:paraId="06020BEA" w14:textId="77777777" w:rsidR="00CA6B14" w:rsidRDefault="00CA6B14" w:rsidP="003757E8">
      <w:pPr>
        <w:pStyle w:val="NumberedlistHTA"/>
        <w:numPr>
          <w:ilvl w:val="0"/>
          <w:numId w:val="0"/>
        </w:numPr>
        <w:spacing w:after="160"/>
        <w:jc w:val="center"/>
        <w:rPr>
          <w:b/>
          <w:bCs/>
        </w:rPr>
      </w:pPr>
    </w:p>
    <w:tbl>
      <w:tblPr>
        <w:tblW w:w="13608" w:type="dxa"/>
        <w:tblCellMar>
          <w:left w:w="0" w:type="dxa"/>
          <w:right w:w="0" w:type="dxa"/>
        </w:tblCellMar>
        <w:tblLook w:val="0600" w:firstRow="0" w:lastRow="0" w:firstColumn="0" w:lastColumn="0" w:noHBand="1" w:noVBand="1"/>
      </w:tblPr>
      <w:tblGrid>
        <w:gridCol w:w="318"/>
        <w:gridCol w:w="2331"/>
        <w:gridCol w:w="2080"/>
        <w:gridCol w:w="516"/>
        <w:gridCol w:w="567"/>
        <w:gridCol w:w="567"/>
        <w:gridCol w:w="7229"/>
      </w:tblGrid>
      <w:tr w:rsidR="00175D75" w:rsidRPr="00516320" w14:paraId="6E472252" w14:textId="77777777" w:rsidTr="00DA7C58">
        <w:trPr>
          <w:trHeight w:val="971"/>
        </w:trPr>
        <w:tc>
          <w:tcPr>
            <w:tcW w:w="318"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5D4968A" w14:textId="77777777" w:rsidR="00175D75" w:rsidRPr="00516320" w:rsidRDefault="00175D75" w:rsidP="00516320">
            <w:pPr>
              <w:spacing w:before="0" w:after="0" w:line="240" w:lineRule="auto"/>
              <w:rPr>
                <w:rFonts w:ascii="Times New Roman" w:eastAsia="Times New Roman" w:hAnsi="Times New Roman" w:cs="Times New Roman"/>
                <w:sz w:val="24"/>
                <w:szCs w:val="24"/>
                <w:lang w:eastAsia="en-GB"/>
              </w:rPr>
            </w:pPr>
          </w:p>
        </w:tc>
        <w:tc>
          <w:tcPr>
            <w:tcW w:w="2331" w:type="dxa"/>
            <w:tcBorders>
              <w:top w:val="single" w:sz="8" w:space="0" w:color="000000"/>
              <w:left w:val="single" w:sz="8" w:space="0" w:color="000000"/>
              <w:bottom w:val="single" w:sz="8" w:space="0" w:color="000000"/>
              <w:right w:val="nil"/>
            </w:tcBorders>
            <w:shd w:val="clear" w:color="auto" w:fill="262626"/>
            <w:tcMar>
              <w:top w:w="15" w:type="dxa"/>
              <w:left w:w="15" w:type="dxa"/>
              <w:bottom w:w="0" w:type="dxa"/>
              <w:right w:w="15" w:type="dxa"/>
            </w:tcMar>
            <w:vAlign w:val="center"/>
            <w:hideMark/>
          </w:tcPr>
          <w:p w14:paraId="07A0120A" w14:textId="77777777" w:rsidR="00175D75" w:rsidRPr="00516320" w:rsidRDefault="00175D75" w:rsidP="00516320">
            <w:pPr>
              <w:spacing w:before="0" w:after="0" w:line="240" w:lineRule="auto"/>
              <w:jc w:val="center"/>
              <w:textAlignment w:val="center"/>
              <w:rPr>
                <w:rFonts w:ascii="Arial" w:eastAsia="Times New Roman" w:hAnsi="Arial" w:cs="Arial"/>
                <w:sz w:val="36"/>
                <w:szCs w:val="36"/>
                <w:lang w:eastAsia="en-GB"/>
              </w:rPr>
            </w:pPr>
            <w:r w:rsidRPr="00516320">
              <w:rPr>
                <w:rFonts w:ascii="Calibri" w:eastAsia="Times New Roman" w:hAnsi="Calibri" w:cs="Calibri"/>
                <w:color w:val="FFFFFF"/>
                <w:kern w:val="24"/>
                <w:lang w:eastAsia="en-GB"/>
              </w:rPr>
              <w:t>Project</w:t>
            </w:r>
          </w:p>
        </w:tc>
        <w:tc>
          <w:tcPr>
            <w:tcW w:w="2080" w:type="dxa"/>
            <w:tcBorders>
              <w:top w:val="single" w:sz="8" w:space="0" w:color="000000"/>
              <w:left w:val="nil"/>
              <w:bottom w:val="single" w:sz="8" w:space="0" w:color="000000"/>
              <w:right w:val="nil"/>
            </w:tcBorders>
            <w:shd w:val="clear" w:color="auto" w:fill="262626"/>
            <w:tcMar>
              <w:top w:w="15" w:type="dxa"/>
              <w:left w:w="15" w:type="dxa"/>
              <w:bottom w:w="0" w:type="dxa"/>
              <w:right w:w="15" w:type="dxa"/>
            </w:tcMar>
            <w:vAlign w:val="center"/>
            <w:hideMark/>
          </w:tcPr>
          <w:p w14:paraId="22E0BE4F" w14:textId="77777777" w:rsidR="00175D75" w:rsidRPr="00516320" w:rsidRDefault="00175D75" w:rsidP="00516320">
            <w:pPr>
              <w:spacing w:before="0" w:after="0" w:line="240" w:lineRule="auto"/>
              <w:jc w:val="center"/>
              <w:textAlignment w:val="center"/>
              <w:rPr>
                <w:rFonts w:ascii="Arial" w:eastAsia="Times New Roman" w:hAnsi="Arial" w:cs="Arial"/>
                <w:sz w:val="36"/>
                <w:szCs w:val="36"/>
                <w:lang w:eastAsia="en-GB"/>
              </w:rPr>
            </w:pPr>
            <w:r w:rsidRPr="00516320">
              <w:rPr>
                <w:rFonts w:ascii="Calibri" w:eastAsia="Times New Roman" w:hAnsi="Calibri" w:cs="Calibri"/>
                <w:color w:val="FFFFFF"/>
                <w:kern w:val="24"/>
                <w:lang w:eastAsia="en-GB"/>
              </w:rPr>
              <w:t>Sponsor</w:t>
            </w:r>
          </w:p>
        </w:tc>
        <w:tc>
          <w:tcPr>
            <w:tcW w:w="516" w:type="dxa"/>
            <w:tcBorders>
              <w:top w:val="single" w:sz="8" w:space="0" w:color="000000"/>
              <w:left w:val="single" w:sz="8" w:space="0" w:color="000000"/>
              <w:bottom w:val="single" w:sz="8" w:space="0" w:color="000000"/>
              <w:right w:val="single" w:sz="8" w:space="0" w:color="000000"/>
            </w:tcBorders>
            <w:shd w:val="clear" w:color="auto" w:fill="002060"/>
            <w:tcMar>
              <w:top w:w="15" w:type="dxa"/>
              <w:left w:w="15" w:type="dxa"/>
              <w:bottom w:w="0" w:type="dxa"/>
              <w:right w:w="15" w:type="dxa"/>
            </w:tcMar>
            <w:vAlign w:val="center"/>
            <w:hideMark/>
          </w:tcPr>
          <w:p w14:paraId="2C31521C" w14:textId="77777777" w:rsidR="00175D75" w:rsidRPr="00516320" w:rsidRDefault="00175D75" w:rsidP="00516320">
            <w:pPr>
              <w:spacing w:before="0" w:after="0" w:line="240" w:lineRule="auto"/>
              <w:jc w:val="center"/>
              <w:textAlignment w:val="center"/>
              <w:rPr>
                <w:rFonts w:ascii="Arial" w:eastAsia="Times New Roman" w:hAnsi="Arial" w:cs="Arial"/>
                <w:sz w:val="36"/>
                <w:szCs w:val="36"/>
                <w:lang w:eastAsia="en-GB"/>
              </w:rPr>
            </w:pPr>
            <w:r w:rsidRPr="00516320">
              <w:rPr>
                <w:rFonts w:ascii="Calibri" w:eastAsia="Times New Roman" w:hAnsi="Calibri" w:cs="Calibri"/>
                <w:color w:val="FFFFFF"/>
                <w:kern w:val="24"/>
                <w:lang w:eastAsia="en-GB"/>
              </w:rPr>
              <w:t>Apr 23</w:t>
            </w:r>
          </w:p>
        </w:tc>
        <w:tc>
          <w:tcPr>
            <w:tcW w:w="567" w:type="dxa"/>
            <w:tcBorders>
              <w:top w:val="single" w:sz="8" w:space="0" w:color="000000"/>
              <w:left w:val="single" w:sz="8" w:space="0" w:color="000000"/>
              <w:bottom w:val="single" w:sz="8" w:space="0" w:color="000000"/>
              <w:right w:val="single" w:sz="8" w:space="0" w:color="000000"/>
            </w:tcBorders>
            <w:shd w:val="clear" w:color="auto" w:fill="002060"/>
            <w:tcMar>
              <w:top w:w="15" w:type="dxa"/>
              <w:left w:w="15" w:type="dxa"/>
              <w:bottom w:w="0" w:type="dxa"/>
              <w:right w:w="15" w:type="dxa"/>
            </w:tcMar>
            <w:vAlign w:val="center"/>
            <w:hideMark/>
          </w:tcPr>
          <w:p w14:paraId="7B27D063" w14:textId="77777777" w:rsidR="00175D75" w:rsidRPr="00516320" w:rsidRDefault="00175D75" w:rsidP="00516320">
            <w:pPr>
              <w:spacing w:before="0" w:after="0" w:line="240" w:lineRule="auto"/>
              <w:jc w:val="center"/>
              <w:textAlignment w:val="center"/>
              <w:rPr>
                <w:rFonts w:ascii="Arial" w:eastAsia="Times New Roman" w:hAnsi="Arial" w:cs="Arial"/>
                <w:sz w:val="36"/>
                <w:szCs w:val="36"/>
                <w:lang w:eastAsia="en-GB"/>
              </w:rPr>
            </w:pPr>
            <w:r w:rsidRPr="00516320">
              <w:rPr>
                <w:rFonts w:ascii="Calibri" w:eastAsia="Times New Roman" w:hAnsi="Calibri" w:cs="Calibri"/>
                <w:color w:val="FFFFFF"/>
                <w:kern w:val="24"/>
                <w:lang w:eastAsia="en-GB"/>
              </w:rPr>
              <w:t>May 23</w:t>
            </w:r>
          </w:p>
        </w:tc>
        <w:tc>
          <w:tcPr>
            <w:tcW w:w="567" w:type="dxa"/>
            <w:tcBorders>
              <w:top w:val="single" w:sz="8" w:space="0" w:color="000000"/>
              <w:left w:val="single" w:sz="8" w:space="0" w:color="000000"/>
              <w:bottom w:val="single" w:sz="8" w:space="0" w:color="000000"/>
              <w:right w:val="single" w:sz="8" w:space="0" w:color="000000"/>
            </w:tcBorders>
            <w:shd w:val="clear" w:color="auto" w:fill="002060"/>
            <w:tcMar>
              <w:top w:w="15" w:type="dxa"/>
              <w:left w:w="15" w:type="dxa"/>
              <w:bottom w:w="0" w:type="dxa"/>
              <w:right w:w="15" w:type="dxa"/>
            </w:tcMar>
            <w:vAlign w:val="center"/>
            <w:hideMark/>
          </w:tcPr>
          <w:p w14:paraId="41726C76" w14:textId="77777777" w:rsidR="00175D75" w:rsidRPr="00516320" w:rsidRDefault="00175D75" w:rsidP="00516320">
            <w:pPr>
              <w:spacing w:before="0" w:after="0" w:line="240" w:lineRule="auto"/>
              <w:jc w:val="center"/>
              <w:textAlignment w:val="center"/>
              <w:rPr>
                <w:rFonts w:ascii="Arial" w:eastAsia="Times New Roman" w:hAnsi="Arial" w:cs="Arial"/>
                <w:sz w:val="36"/>
                <w:szCs w:val="36"/>
                <w:lang w:eastAsia="en-GB"/>
              </w:rPr>
            </w:pPr>
            <w:r w:rsidRPr="00516320">
              <w:rPr>
                <w:rFonts w:ascii="Calibri" w:eastAsia="Times New Roman" w:hAnsi="Calibri" w:cs="Calibri"/>
                <w:color w:val="FFFFFF"/>
                <w:kern w:val="24"/>
                <w:lang w:eastAsia="en-GB"/>
              </w:rPr>
              <w:t>Jun 23</w:t>
            </w:r>
          </w:p>
        </w:tc>
        <w:tc>
          <w:tcPr>
            <w:tcW w:w="7229" w:type="dxa"/>
            <w:tcBorders>
              <w:top w:val="single" w:sz="8" w:space="0" w:color="000000"/>
              <w:left w:val="single" w:sz="8" w:space="0" w:color="000000"/>
              <w:bottom w:val="single" w:sz="8" w:space="0" w:color="000000"/>
              <w:right w:val="single" w:sz="8" w:space="0" w:color="000000"/>
            </w:tcBorders>
            <w:shd w:val="clear" w:color="auto" w:fill="7030A0"/>
            <w:tcMar>
              <w:top w:w="15" w:type="dxa"/>
              <w:left w:w="15" w:type="dxa"/>
              <w:bottom w:w="0" w:type="dxa"/>
              <w:right w:w="15" w:type="dxa"/>
            </w:tcMar>
            <w:vAlign w:val="center"/>
            <w:hideMark/>
          </w:tcPr>
          <w:p w14:paraId="5DB7C681" w14:textId="77777777" w:rsidR="00175D75" w:rsidRPr="00516320" w:rsidRDefault="00175D75" w:rsidP="00516320">
            <w:pPr>
              <w:spacing w:before="0" w:after="0" w:line="240" w:lineRule="auto"/>
              <w:jc w:val="center"/>
              <w:textAlignment w:val="center"/>
              <w:rPr>
                <w:rFonts w:ascii="Arial" w:eastAsia="Times New Roman" w:hAnsi="Arial" w:cs="Arial"/>
                <w:sz w:val="36"/>
                <w:szCs w:val="36"/>
                <w:lang w:eastAsia="en-GB"/>
              </w:rPr>
            </w:pPr>
            <w:r w:rsidRPr="00516320">
              <w:rPr>
                <w:rFonts w:ascii="Calibri" w:eastAsia="Times New Roman" w:hAnsi="Calibri" w:cs="Calibri"/>
                <w:color w:val="FFFFFF"/>
                <w:kern w:val="24"/>
                <w:lang w:eastAsia="en-GB"/>
              </w:rPr>
              <w:t>Commentary</w:t>
            </w:r>
          </w:p>
        </w:tc>
      </w:tr>
      <w:tr w:rsidR="008644CE" w:rsidRPr="00516320" w14:paraId="69AB6D8C" w14:textId="77777777" w:rsidTr="00FF2DFB">
        <w:trPr>
          <w:trHeight w:val="867"/>
        </w:trPr>
        <w:tc>
          <w:tcPr>
            <w:tcW w:w="318" w:type="dxa"/>
            <w:vMerge w:val="restart"/>
            <w:tcBorders>
              <w:top w:val="single" w:sz="8" w:space="0" w:color="000000"/>
              <w:left w:val="single" w:sz="8" w:space="0" w:color="000000"/>
              <w:right w:val="single" w:sz="8" w:space="0" w:color="000000"/>
            </w:tcBorders>
            <w:shd w:val="clear" w:color="auto" w:fill="002060"/>
            <w:tcMar>
              <w:top w:w="15" w:type="dxa"/>
              <w:left w:w="15" w:type="dxa"/>
              <w:bottom w:w="0" w:type="dxa"/>
              <w:right w:w="15" w:type="dxa"/>
            </w:tcMar>
            <w:textDirection w:val="btLr"/>
            <w:vAlign w:val="center"/>
            <w:hideMark/>
          </w:tcPr>
          <w:p w14:paraId="39FC8D5D" w14:textId="77777777" w:rsidR="008644CE" w:rsidRPr="00516320" w:rsidRDefault="008644CE" w:rsidP="00516320">
            <w:pPr>
              <w:spacing w:before="0" w:after="0" w:line="240" w:lineRule="auto"/>
              <w:jc w:val="center"/>
              <w:textAlignment w:val="center"/>
              <w:rPr>
                <w:rFonts w:ascii="Arial" w:eastAsia="Times New Roman" w:hAnsi="Arial" w:cs="Arial"/>
                <w:sz w:val="36"/>
                <w:szCs w:val="36"/>
                <w:lang w:eastAsia="en-GB"/>
              </w:rPr>
            </w:pPr>
            <w:r w:rsidRPr="00516320">
              <w:rPr>
                <w:rFonts w:eastAsia="Times New Roman" w:hAnsi="Arial" w:cs="Arial"/>
                <w:b/>
                <w:bCs/>
                <w:color w:val="FFFFFF"/>
                <w:kern w:val="24"/>
                <w:lang w:eastAsia="en-GB"/>
              </w:rPr>
              <w:t>Activities    </w:t>
            </w:r>
          </w:p>
        </w:tc>
        <w:tc>
          <w:tcPr>
            <w:tcW w:w="2331" w:type="dxa"/>
            <w:tcBorders>
              <w:top w:val="single" w:sz="8" w:space="0" w:color="000000"/>
              <w:left w:val="single" w:sz="8" w:space="0" w:color="000000"/>
              <w:bottom w:val="single" w:sz="8" w:space="0" w:color="000000"/>
              <w:right w:val="single" w:sz="8" w:space="0" w:color="000000"/>
            </w:tcBorders>
            <w:shd w:val="clear" w:color="auto" w:fill="DDEBF7"/>
            <w:tcMar>
              <w:top w:w="15" w:type="dxa"/>
              <w:left w:w="15" w:type="dxa"/>
              <w:bottom w:w="0" w:type="dxa"/>
              <w:right w:w="15" w:type="dxa"/>
            </w:tcMar>
            <w:vAlign w:val="center"/>
            <w:hideMark/>
          </w:tcPr>
          <w:p w14:paraId="28C80014" w14:textId="77777777" w:rsidR="008644CE" w:rsidRPr="00516320" w:rsidRDefault="008644CE" w:rsidP="00516320">
            <w:pPr>
              <w:spacing w:before="0" w:after="0" w:line="240" w:lineRule="auto"/>
              <w:rPr>
                <w:rFonts w:ascii="Arial" w:eastAsia="Times New Roman" w:hAnsi="Arial" w:cs="Arial"/>
                <w:sz w:val="36"/>
                <w:szCs w:val="36"/>
                <w:lang w:eastAsia="en-GB"/>
              </w:rPr>
            </w:pPr>
            <w:r w:rsidRPr="00516320">
              <w:rPr>
                <w:rFonts w:asciiTheme="majorHAnsi" w:eastAsiaTheme="minorEastAsia" w:hAnsi="Arial"/>
                <w:color w:val="000000" w:themeColor="text1"/>
                <w:kern w:val="24"/>
                <w:sz w:val="19"/>
                <w:szCs w:val="19"/>
                <w:lang w:eastAsia="en-GB"/>
              </w:rPr>
              <w:t>Create a new HTA strategy</w:t>
            </w:r>
          </w:p>
        </w:tc>
        <w:tc>
          <w:tcPr>
            <w:tcW w:w="2080" w:type="dxa"/>
            <w:tcBorders>
              <w:top w:val="single" w:sz="8" w:space="0" w:color="000000"/>
              <w:left w:val="single" w:sz="8" w:space="0" w:color="000000"/>
              <w:bottom w:val="single" w:sz="8" w:space="0" w:color="000000"/>
              <w:right w:val="single" w:sz="8" w:space="0" w:color="000000"/>
            </w:tcBorders>
            <w:shd w:val="clear" w:color="auto" w:fill="DDEBF7"/>
            <w:tcMar>
              <w:top w:w="15" w:type="dxa"/>
              <w:left w:w="15" w:type="dxa"/>
              <w:bottom w:w="0" w:type="dxa"/>
              <w:right w:w="15" w:type="dxa"/>
            </w:tcMar>
            <w:vAlign w:val="center"/>
            <w:hideMark/>
          </w:tcPr>
          <w:p w14:paraId="1BB7CA32" w14:textId="77777777" w:rsidR="008644CE" w:rsidRPr="00516320" w:rsidRDefault="008644CE" w:rsidP="00516320">
            <w:pPr>
              <w:spacing w:before="0" w:after="0" w:line="240" w:lineRule="auto"/>
              <w:rPr>
                <w:rFonts w:ascii="Arial" w:eastAsia="Times New Roman" w:hAnsi="Arial" w:cs="Arial"/>
                <w:sz w:val="36"/>
                <w:szCs w:val="36"/>
                <w:lang w:eastAsia="en-GB"/>
              </w:rPr>
            </w:pPr>
            <w:r w:rsidRPr="00516320">
              <w:rPr>
                <w:rFonts w:asciiTheme="majorHAnsi" w:eastAsia="Times New Roman" w:hAnsi="Arial" w:cs="Arial"/>
                <w:color w:val="000000"/>
                <w:kern w:val="24"/>
                <w:sz w:val="19"/>
                <w:szCs w:val="19"/>
                <w:lang w:eastAsia="en-GB"/>
              </w:rPr>
              <w:t>Louise Dineley</w:t>
            </w:r>
          </w:p>
        </w:tc>
        <w:tc>
          <w:tcPr>
            <w:tcW w:w="516" w:type="dxa"/>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0" w:type="dxa"/>
              <w:right w:w="15" w:type="dxa"/>
            </w:tcMar>
            <w:vAlign w:val="center"/>
            <w:hideMark/>
          </w:tcPr>
          <w:p w14:paraId="1DDFA1D5" w14:textId="77777777" w:rsidR="008644CE" w:rsidRPr="00516320" w:rsidRDefault="008644CE" w:rsidP="00516320">
            <w:pPr>
              <w:spacing w:before="0" w:after="0" w:line="240" w:lineRule="auto"/>
              <w:rPr>
                <w:rFonts w:ascii="Arial" w:eastAsia="Times New Roman" w:hAnsi="Arial" w:cs="Arial"/>
                <w:sz w:val="36"/>
                <w:szCs w:val="36"/>
                <w:lang w:eastAsia="en-GB"/>
              </w:rPr>
            </w:pPr>
          </w:p>
        </w:tc>
        <w:tc>
          <w:tcPr>
            <w:tcW w:w="567" w:type="dxa"/>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0" w:type="dxa"/>
              <w:right w:w="15" w:type="dxa"/>
            </w:tcMar>
            <w:vAlign w:val="center"/>
            <w:hideMark/>
          </w:tcPr>
          <w:p w14:paraId="275038EE" w14:textId="77777777" w:rsidR="008644CE" w:rsidRPr="00516320" w:rsidRDefault="008644CE" w:rsidP="00516320">
            <w:pPr>
              <w:spacing w:before="0" w:after="0" w:line="240" w:lineRule="auto"/>
              <w:rPr>
                <w:rFonts w:ascii="Times New Roman" w:eastAsia="Times New Roman" w:hAnsi="Times New Roman" w:cs="Times New Roman"/>
                <w:sz w:val="20"/>
                <w:szCs w:val="20"/>
                <w:lang w:eastAsia="en-GB"/>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14:paraId="4BA4C00D" w14:textId="77777777" w:rsidR="008644CE" w:rsidRPr="00516320" w:rsidRDefault="008644CE" w:rsidP="00516320">
            <w:pPr>
              <w:spacing w:before="0" w:after="0" w:line="240" w:lineRule="auto"/>
              <w:rPr>
                <w:rFonts w:ascii="Times New Roman" w:eastAsia="Times New Roman" w:hAnsi="Times New Roman" w:cs="Times New Roman"/>
                <w:sz w:val="20"/>
                <w:szCs w:val="20"/>
                <w:lang w:eastAsia="en-GB"/>
              </w:rPr>
            </w:pPr>
          </w:p>
        </w:tc>
        <w:tc>
          <w:tcPr>
            <w:tcW w:w="7229" w:type="dxa"/>
            <w:tcBorders>
              <w:top w:val="single" w:sz="8" w:space="0" w:color="000000"/>
              <w:left w:val="single" w:sz="8" w:space="0" w:color="000000"/>
              <w:bottom w:val="single" w:sz="8" w:space="0" w:color="000000"/>
              <w:right w:val="single" w:sz="8" w:space="0" w:color="000000"/>
            </w:tcBorders>
            <w:shd w:val="clear" w:color="auto" w:fill="F5F4F7"/>
            <w:tcMar>
              <w:top w:w="15" w:type="dxa"/>
              <w:left w:w="15" w:type="dxa"/>
              <w:bottom w:w="0" w:type="dxa"/>
              <w:right w:w="15" w:type="dxa"/>
            </w:tcMar>
            <w:vAlign w:val="center"/>
            <w:hideMark/>
          </w:tcPr>
          <w:p w14:paraId="0A689867" w14:textId="77777777" w:rsidR="008644CE" w:rsidRPr="00516320" w:rsidRDefault="008644CE" w:rsidP="00516320">
            <w:pPr>
              <w:spacing w:before="0" w:after="0" w:line="240" w:lineRule="auto"/>
              <w:rPr>
                <w:rFonts w:ascii="Arial" w:eastAsia="Times New Roman" w:hAnsi="Arial" w:cs="Arial"/>
                <w:sz w:val="36"/>
                <w:szCs w:val="36"/>
                <w:lang w:eastAsia="en-GB"/>
              </w:rPr>
            </w:pPr>
            <w:r w:rsidRPr="00516320">
              <w:rPr>
                <w:rFonts w:eastAsiaTheme="minorEastAsia" w:hAnsi="Arial" w:cs="Arial"/>
                <w:color w:val="000000"/>
                <w:kern w:val="24"/>
                <w:sz w:val="19"/>
                <w:szCs w:val="19"/>
                <w:lang w:eastAsia="en-GB"/>
              </w:rPr>
              <w:t>Project not yet started – anticipated start date July 23'</w:t>
            </w:r>
          </w:p>
        </w:tc>
      </w:tr>
      <w:tr w:rsidR="008644CE" w:rsidRPr="00516320" w14:paraId="6C4C112D" w14:textId="77777777" w:rsidTr="00FF2DFB">
        <w:trPr>
          <w:trHeight w:val="867"/>
        </w:trPr>
        <w:tc>
          <w:tcPr>
            <w:tcW w:w="0" w:type="auto"/>
            <w:vMerge/>
            <w:tcBorders>
              <w:left w:val="single" w:sz="8" w:space="0" w:color="000000"/>
              <w:right w:val="single" w:sz="8" w:space="0" w:color="000000"/>
            </w:tcBorders>
            <w:vAlign w:val="center"/>
            <w:hideMark/>
          </w:tcPr>
          <w:p w14:paraId="709694A9" w14:textId="77777777" w:rsidR="008644CE" w:rsidRPr="00516320" w:rsidRDefault="008644CE" w:rsidP="00516320">
            <w:pPr>
              <w:spacing w:before="0" w:after="0" w:line="240" w:lineRule="auto"/>
              <w:rPr>
                <w:rFonts w:ascii="Arial" w:eastAsia="Times New Roman" w:hAnsi="Arial" w:cs="Arial"/>
                <w:sz w:val="36"/>
                <w:szCs w:val="36"/>
                <w:lang w:eastAsia="en-GB"/>
              </w:rPr>
            </w:pPr>
          </w:p>
        </w:tc>
        <w:tc>
          <w:tcPr>
            <w:tcW w:w="2331" w:type="dxa"/>
            <w:tcBorders>
              <w:top w:val="single" w:sz="8" w:space="0" w:color="000000"/>
              <w:left w:val="single" w:sz="8" w:space="0" w:color="000000"/>
              <w:bottom w:val="single" w:sz="8" w:space="0" w:color="000000"/>
              <w:right w:val="single" w:sz="8" w:space="0" w:color="000000"/>
            </w:tcBorders>
            <w:shd w:val="clear" w:color="auto" w:fill="DDEBF7"/>
            <w:tcMar>
              <w:top w:w="15" w:type="dxa"/>
              <w:left w:w="15" w:type="dxa"/>
              <w:bottom w:w="0" w:type="dxa"/>
              <w:right w:w="15" w:type="dxa"/>
            </w:tcMar>
            <w:vAlign w:val="center"/>
            <w:hideMark/>
          </w:tcPr>
          <w:p w14:paraId="5BD1FA73" w14:textId="77777777" w:rsidR="008644CE" w:rsidRPr="00516320" w:rsidRDefault="008644CE" w:rsidP="00516320">
            <w:pPr>
              <w:spacing w:before="0" w:after="0" w:line="240" w:lineRule="auto"/>
              <w:rPr>
                <w:rFonts w:ascii="Arial" w:eastAsia="Times New Roman" w:hAnsi="Arial" w:cs="Arial"/>
                <w:sz w:val="36"/>
                <w:szCs w:val="36"/>
                <w:lang w:eastAsia="en-GB"/>
              </w:rPr>
            </w:pPr>
            <w:r w:rsidRPr="00516320">
              <w:rPr>
                <w:rFonts w:asciiTheme="majorHAnsi" w:eastAsiaTheme="minorEastAsia" w:hAnsi="Arial"/>
                <w:color w:val="000000" w:themeColor="text1"/>
                <w:kern w:val="24"/>
                <w:sz w:val="19"/>
                <w:szCs w:val="19"/>
                <w:lang w:eastAsia="en-GB"/>
              </w:rPr>
              <w:t>Public Bodies review </w:t>
            </w:r>
          </w:p>
        </w:tc>
        <w:tc>
          <w:tcPr>
            <w:tcW w:w="2080" w:type="dxa"/>
            <w:tcBorders>
              <w:top w:val="single" w:sz="8" w:space="0" w:color="000000"/>
              <w:left w:val="single" w:sz="8" w:space="0" w:color="000000"/>
              <w:bottom w:val="single" w:sz="8" w:space="0" w:color="000000"/>
              <w:right w:val="single" w:sz="8" w:space="0" w:color="000000"/>
            </w:tcBorders>
            <w:shd w:val="clear" w:color="auto" w:fill="DDEBF7"/>
            <w:tcMar>
              <w:top w:w="15" w:type="dxa"/>
              <w:left w:w="15" w:type="dxa"/>
              <w:bottom w:w="0" w:type="dxa"/>
              <w:right w:w="15" w:type="dxa"/>
            </w:tcMar>
            <w:vAlign w:val="center"/>
            <w:hideMark/>
          </w:tcPr>
          <w:p w14:paraId="2181ECB7" w14:textId="77777777" w:rsidR="008644CE" w:rsidRPr="00516320" w:rsidRDefault="008644CE" w:rsidP="00516320">
            <w:pPr>
              <w:spacing w:before="0" w:after="0" w:line="240" w:lineRule="auto"/>
              <w:rPr>
                <w:rFonts w:ascii="Arial" w:eastAsia="Times New Roman" w:hAnsi="Arial" w:cs="Arial"/>
                <w:sz w:val="36"/>
                <w:szCs w:val="36"/>
                <w:lang w:eastAsia="en-GB"/>
              </w:rPr>
            </w:pPr>
            <w:r w:rsidRPr="00516320">
              <w:rPr>
                <w:rFonts w:asciiTheme="majorHAnsi" w:eastAsiaTheme="minorEastAsia" w:hAnsi="Arial"/>
                <w:color w:val="000000" w:themeColor="text1"/>
                <w:kern w:val="24"/>
                <w:sz w:val="19"/>
                <w:szCs w:val="19"/>
                <w:lang w:eastAsia="en-GB"/>
              </w:rPr>
              <w:t>Louise Dineley</w:t>
            </w:r>
          </w:p>
        </w:tc>
        <w:tc>
          <w:tcPr>
            <w:tcW w:w="5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C692E7F" w14:textId="77777777" w:rsidR="008644CE" w:rsidRPr="00516320" w:rsidRDefault="008644CE" w:rsidP="00516320">
            <w:pPr>
              <w:spacing w:before="0" w:after="0" w:line="240" w:lineRule="auto"/>
              <w:rPr>
                <w:rFonts w:ascii="Arial" w:eastAsia="Times New Roman" w:hAnsi="Arial" w:cs="Arial"/>
                <w:sz w:val="36"/>
                <w:szCs w:val="36"/>
                <w:lang w:eastAsia="en-GB"/>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A297F7A" w14:textId="77777777" w:rsidR="008644CE" w:rsidRPr="00516320" w:rsidRDefault="008644CE" w:rsidP="00516320">
            <w:pPr>
              <w:spacing w:before="0" w:after="0" w:line="240" w:lineRule="auto"/>
              <w:rPr>
                <w:rFonts w:ascii="Times New Roman" w:eastAsia="Times New Roman" w:hAnsi="Times New Roman" w:cs="Times New Roman"/>
                <w:sz w:val="20"/>
                <w:szCs w:val="20"/>
                <w:lang w:eastAsia="en-GB"/>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14:paraId="150C2DC9" w14:textId="77777777" w:rsidR="008644CE" w:rsidRPr="00516320" w:rsidRDefault="008644CE" w:rsidP="00516320">
            <w:pPr>
              <w:spacing w:before="0" w:after="0" w:line="240" w:lineRule="auto"/>
              <w:rPr>
                <w:rFonts w:ascii="Times New Roman" w:eastAsia="Times New Roman" w:hAnsi="Times New Roman" w:cs="Times New Roman"/>
                <w:sz w:val="20"/>
                <w:szCs w:val="20"/>
                <w:lang w:eastAsia="en-GB"/>
              </w:rPr>
            </w:pPr>
          </w:p>
        </w:tc>
        <w:tc>
          <w:tcPr>
            <w:tcW w:w="7229" w:type="dxa"/>
            <w:tcBorders>
              <w:top w:val="single" w:sz="8" w:space="0" w:color="000000"/>
              <w:left w:val="single" w:sz="8" w:space="0" w:color="000000"/>
              <w:bottom w:val="single" w:sz="8" w:space="0" w:color="000000"/>
              <w:right w:val="single" w:sz="8" w:space="0" w:color="000000"/>
            </w:tcBorders>
            <w:shd w:val="clear" w:color="auto" w:fill="F5F4F7"/>
            <w:tcMar>
              <w:top w:w="15" w:type="dxa"/>
              <w:left w:w="15" w:type="dxa"/>
              <w:bottom w:w="0" w:type="dxa"/>
              <w:right w:w="15" w:type="dxa"/>
            </w:tcMar>
            <w:vAlign w:val="center"/>
            <w:hideMark/>
          </w:tcPr>
          <w:p w14:paraId="0F452FEB" w14:textId="77777777" w:rsidR="008644CE" w:rsidRPr="00516320" w:rsidRDefault="008644CE" w:rsidP="00516320">
            <w:pPr>
              <w:spacing w:before="0" w:after="0" w:line="240" w:lineRule="auto"/>
              <w:rPr>
                <w:rFonts w:ascii="Arial" w:eastAsia="Times New Roman" w:hAnsi="Arial" w:cs="Arial"/>
                <w:sz w:val="36"/>
                <w:szCs w:val="36"/>
                <w:lang w:eastAsia="en-GB"/>
              </w:rPr>
            </w:pPr>
            <w:r w:rsidRPr="00516320">
              <w:rPr>
                <w:rFonts w:eastAsiaTheme="minorEastAsia" w:hAnsi="Arial" w:cs="Arial"/>
                <w:color w:val="000000"/>
                <w:kern w:val="24"/>
                <w:sz w:val="19"/>
                <w:szCs w:val="19"/>
                <w:lang w:eastAsia="en-GB"/>
              </w:rPr>
              <w:t>Project not yet started – anticipated start date October 23'</w:t>
            </w:r>
          </w:p>
        </w:tc>
      </w:tr>
      <w:tr w:rsidR="008644CE" w:rsidRPr="00516320" w14:paraId="6D89324A" w14:textId="77777777" w:rsidTr="000D37D0">
        <w:trPr>
          <w:trHeight w:val="939"/>
        </w:trPr>
        <w:tc>
          <w:tcPr>
            <w:tcW w:w="0" w:type="auto"/>
            <w:vMerge/>
            <w:tcBorders>
              <w:left w:val="single" w:sz="8" w:space="0" w:color="000000"/>
              <w:right w:val="single" w:sz="8" w:space="0" w:color="000000"/>
            </w:tcBorders>
            <w:vAlign w:val="center"/>
            <w:hideMark/>
          </w:tcPr>
          <w:p w14:paraId="3D3BDE23" w14:textId="77777777" w:rsidR="008644CE" w:rsidRPr="00516320" w:rsidRDefault="008644CE" w:rsidP="00516320">
            <w:pPr>
              <w:spacing w:before="0" w:after="0" w:line="240" w:lineRule="auto"/>
              <w:rPr>
                <w:rFonts w:ascii="Arial" w:eastAsia="Times New Roman" w:hAnsi="Arial" w:cs="Arial"/>
                <w:sz w:val="36"/>
                <w:szCs w:val="36"/>
                <w:lang w:eastAsia="en-GB"/>
              </w:rPr>
            </w:pPr>
          </w:p>
        </w:tc>
        <w:tc>
          <w:tcPr>
            <w:tcW w:w="2331" w:type="dxa"/>
            <w:tcBorders>
              <w:top w:val="single" w:sz="8" w:space="0" w:color="000000"/>
              <w:left w:val="single" w:sz="8" w:space="0" w:color="000000"/>
              <w:bottom w:val="single" w:sz="8" w:space="0" w:color="000000"/>
              <w:right w:val="single" w:sz="8" w:space="0" w:color="000000"/>
            </w:tcBorders>
            <w:shd w:val="clear" w:color="auto" w:fill="DDEBF7"/>
            <w:tcMar>
              <w:top w:w="15" w:type="dxa"/>
              <w:left w:w="15" w:type="dxa"/>
              <w:bottom w:w="0" w:type="dxa"/>
              <w:right w:w="15" w:type="dxa"/>
            </w:tcMar>
            <w:vAlign w:val="center"/>
            <w:hideMark/>
          </w:tcPr>
          <w:p w14:paraId="3CC5C90B" w14:textId="77777777" w:rsidR="008644CE" w:rsidRPr="00516320" w:rsidRDefault="008644CE" w:rsidP="00516320">
            <w:pPr>
              <w:spacing w:before="0" w:after="0" w:line="240" w:lineRule="auto"/>
              <w:rPr>
                <w:rFonts w:ascii="Arial" w:eastAsia="Times New Roman" w:hAnsi="Arial" w:cs="Arial"/>
                <w:sz w:val="36"/>
                <w:szCs w:val="36"/>
                <w:lang w:eastAsia="en-GB"/>
              </w:rPr>
            </w:pPr>
            <w:r w:rsidRPr="00516320">
              <w:rPr>
                <w:rFonts w:asciiTheme="majorHAnsi" w:eastAsiaTheme="minorEastAsia" w:hAnsi="Arial"/>
                <w:color w:val="000000" w:themeColor="text1"/>
                <w:kern w:val="24"/>
                <w:sz w:val="19"/>
                <w:szCs w:val="19"/>
                <w:lang w:eastAsia="en-GB"/>
              </w:rPr>
              <w:t>Assessment of our impact</w:t>
            </w:r>
          </w:p>
        </w:tc>
        <w:tc>
          <w:tcPr>
            <w:tcW w:w="2080" w:type="dxa"/>
            <w:tcBorders>
              <w:top w:val="single" w:sz="8" w:space="0" w:color="000000"/>
              <w:left w:val="single" w:sz="8" w:space="0" w:color="000000"/>
              <w:bottom w:val="single" w:sz="8" w:space="0" w:color="000000"/>
              <w:right w:val="single" w:sz="8" w:space="0" w:color="000000"/>
            </w:tcBorders>
            <w:shd w:val="clear" w:color="auto" w:fill="DDEBF7"/>
            <w:tcMar>
              <w:top w:w="15" w:type="dxa"/>
              <w:left w:w="15" w:type="dxa"/>
              <w:bottom w:w="0" w:type="dxa"/>
              <w:right w:w="15" w:type="dxa"/>
            </w:tcMar>
            <w:vAlign w:val="center"/>
            <w:hideMark/>
          </w:tcPr>
          <w:p w14:paraId="0ABE8D28" w14:textId="77777777" w:rsidR="008644CE" w:rsidRPr="00516320" w:rsidRDefault="008644CE" w:rsidP="00516320">
            <w:pPr>
              <w:spacing w:before="0" w:after="0" w:line="240" w:lineRule="auto"/>
              <w:rPr>
                <w:rFonts w:ascii="Arial" w:eastAsia="Times New Roman" w:hAnsi="Arial" w:cs="Arial"/>
                <w:sz w:val="36"/>
                <w:szCs w:val="36"/>
                <w:lang w:eastAsia="en-GB"/>
              </w:rPr>
            </w:pPr>
            <w:r w:rsidRPr="00516320">
              <w:rPr>
                <w:rFonts w:asciiTheme="majorHAnsi" w:eastAsiaTheme="minorEastAsia" w:hAnsi="Arial"/>
                <w:color w:val="000000" w:themeColor="text1"/>
                <w:kern w:val="24"/>
                <w:sz w:val="19"/>
                <w:szCs w:val="19"/>
                <w:lang w:eastAsia="en-GB"/>
              </w:rPr>
              <w:t>Louise Dineley</w:t>
            </w:r>
          </w:p>
        </w:tc>
        <w:tc>
          <w:tcPr>
            <w:tcW w:w="516" w:type="dxa"/>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0" w:type="dxa"/>
              <w:right w:w="15" w:type="dxa"/>
            </w:tcMar>
            <w:vAlign w:val="center"/>
            <w:hideMark/>
          </w:tcPr>
          <w:p w14:paraId="07AEC0C4" w14:textId="77777777" w:rsidR="008644CE" w:rsidRPr="00516320" w:rsidRDefault="008644CE" w:rsidP="00516320">
            <w:pPr>
              <w:spacing w:before="0" w:after="0" w:line="240" w:lineRule="auto"/>
              <w:rPr>
                <w:rFonts w:ascii="Arial" w:eastAsia="Times New Roman" w:hAnsi="Arial" w:cs="Arial"/>
                <w:sz w:val="36"/>
                <w:szCs w:val="36"/>
                <w:lang w:eastAsia="en-GB"/>
              </w:rPr>
            </w:pPr>
          </w:p>
        </w:tc>
        <w:tc>
          <w:tcPr>
            <w:tcW w:w="567" w:type="dxa"/>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0" w:type="dxa"/>
              <w:right w:w="15" w:type="dxa"/>
            </w:tcMar>
            <w:vAlign w:val="center"/>
            <w:hideMark/>
          </w:tcPr>
          <w:p w14:paraId="5625CA49" w14:textId="77777777" w:rsidR="008644CE" w:rsidRPr="00516320" w:rsidRDefault="008644CE" w:rsidP="00516320">
            <w:pPr>
              <w:spacing w:before="0" w:after="0" w:line="240" w:lineRule="auto"/>
              <w:rPr>
                <w:rFonts w:ascii="Times New Roman" w:eastAsia="Times New Roman" w:hAnsi="Times New Roman" w:cs="Times New Roman"/>
                <w:sz w:val="20"/>
                <w:szCs w:val="20"/>
                <w:lang w:eastAsia="en-GB"/>
              </w:rPr>
            </w:pPr>
          </w:p>
        </w:tc>
        <w:tc>
          <w:tcPr>
            <w:tcW w:w="567"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hideMark/>
          </w:tcPr>
          <w:p w14:paraId="02CE3D5F" w14:textId="77777777" w:rsidR="008644CE" w:rsidRPr="00516320" w:rsidRDefault="008644CE" w:rsidP="00516320">
            <w:pPr>
              <w:spacing w:before="0" w:after="0" w:line="240" w:lineRule="auto"/>
              <w:rPr>
                <w:rFonts w:ascii="Times New Roman" w:eastAsia="Times New Roman" w:hAnsi="Times New Roman" w:cs="Times New Roman"/>
                <w:sz w:val="20"/>
                <w:szCs w:val="20"/>
                <w:lang w:eastAsia="en-GB"/>
              </w:rPr>
            </w:pPr>
          </w:p>
        </w:tc>
        <w:tc>
          <w:tcPr>
            <w:tcW w:w="7229" w:type="dxa"/>
            <w:tcBorders>
              <w:top w:val="single" w:sz="8" w:space="0" w:color="000000"/>
              <w:left w:val="single" w:sz="8" w:space="0" w:color="000000"/>
              <w:bottom w:val="single" w:sz="8" w:space="0" w:color="000000"/>
              <w:right w:val="single" w:sz="8" w:space="0" w:color="000000"/>
            </w:tcBorders>
            <w:shd w:val="clear" w:color="auto" w:fill="F5F4F7"/>
            <w:tcMar>
              <w:top w:w="15" w:type="dxa"/>
              <w:left w:w="15" w:type="dxa"/>
              <w:bottom w:w="0" w:type="dxa"/>
              <w:right w:w="15" w:type="dxa"/>
            </w:tcMar>
            <w:vAlign w:val="center"/>
            <w:hideMark/>
          </w:tcPr>
          <w:p w14:paraId="3D1519BD" w14:textId="77777777" w:rsidR="008644CE" w:rsidRPr="00516320" w:rsidRDefault="008644CE" w:rsidP="00516320">
            <w:pPr>
              <w:spacing w:before="0" w:after="0" w:line="240" w:lineRule="auto"/>
              <w:textAlignment w:val="bottom"/>
              <w:rPr>
                <w:rFonts w:ascii="Arial" w:eastAsia="Times New Roman" w:hAnsi="Arial" w:cs="Arial"/>
                <w:sz w:val="36"/>
                <w:szCs w:val="36"/>
                <w:lang w:eastAsia="en-GB"/>
              </w:rPr>
            </w:pPr>
            <w:r w:rsidRPr="00516320">
              <w:rPr>
                <w:rFonts w:ascii="Arial" w:eastAsia="Times New Roman" w:hAnsi="Arial" w:cs="Arial"/>
                <w:color w:val="000000"/>
                <w:kern w:val="24"/>
                <w:sz w:val="19"/>
                <w:szCs w:val="19"/>
                <w:lang w:eastAsia="en-GB"/>
              </w:rPr>
              <w:t>The project group held a kick-off meeting with Kaleidoscope (the consultancy firm that has been appointed to complete the work) and desk-based research and planning for an evaluation framework is underway. The next steps are to finalise the contract / agreement, communicate the aims and objectives with the organisation, and engage with key internal stakeholders</w:t>
            </w:r>
          </w:p>
        </w:tc>
      </w:tr>
      <w:tr w:rsidR="008644CE" w:rsidRPr="00516320" w14:paraId="77C31972" w14:textId="77777777" w:rsidTr="000D37D0">
        <w:trPr>
          <w:trHeight w:val="867"/>
        </w:trPr>
        <w:tc>
          <w:tcPr>
            <w:tcW w:w="0" w:type="auto"/>
            <w:vMerge/>
            <w:tcBorders>
              <w:left w:val="single" w:sz="8" w:space="0" w:color="000000"/>
              <w:right w:val="single" w:sz="8" w:space="0" w:color="000000"/>
            </w:tcBorders>
            <w:vAlign w:val="center"/>
            <w:hideMark/>
          </w:tcPr>
          <w:p w14:paraId="435B2E6E" w14:textId="77777777" w:rsidR="008644CE" w:rsidRPr="00516320" w:rsidRDefault="008644CE" w:rsidP="00516320">
            <w:pPr>
              <w:spacing w:before="0" w:after="0" w:line="240" w:lineRule="auto"/>
              <w:rPr>
                <w:rFonts w:ascii="Arial" w:eastAsia="Times New Roman" w:hAnsi="Arial" w:cs="Arial"/>
                <w:sz w:val="36"/>
                <w:szCs w:val="36"/>
                <w:lang w:eastAsia="en-GB"/>
              </w:rPr>
            </w:pPr>
          </w:p>
        </w:tc>
        <w:tc>
          <w:tcPr>
            <w:tcW w:w="2331" w:type="dxa"/>
            <w:tcBorders>
              <w:top w:val="single" w:sz="8" w:space="0" w:color="000000"/>
              <w:left w:val="single" w:sz="8" w:space="0" w:color="000000"/>
              <w:bottom w:val="single" w:sz="8" w:space="0" w:color="000000"/>
              <w:right w:val="single" w:sz="8" w:space="0" w:color="000000"/>
            </w:tcBorders>
            <w:shd w:val="clear" w:color="auto" w:fill="DDEBF7"/>
            <w:tcMar>
              <w:top w:w="15" w:type="dxa"/>
              <w:left w:w="15" w:type="dxa"/>
              <w:bottom w:w="0" w:type="dxa"/>
              <w:right w:w="15" w:type="dxa"/>
            </w:tcMar>
            <w:vAlign w:val="center"/>
            <w:hideMark/>
          </w:tcPr>
          <w:p w14:paraId="1C10FB05" w14:textId="77777777" w:rsidR="008644CE" w:rsidRPr="00516320" w:rsidRDefault="008644CE" w:rsidP="00516320">
            <w:pPr>
              <w:spacing w:before="0" w:after="0" w:line="240" w:lineRule="auto"/>
              <w:rPr>
                <w:rFonts w:ascii="Arial" w:eastAsia="Times New Roman" w:hAnsi="Arial" w:cs="Arial"/>
                <w:sz w:val="36"/>
                <w:szCs w:val="36"/>
                <w:lang w:eastAsia="en-GB"/>
              </w:rPr>
            </w:pPr>
            <w:r w:rsidRPr="00516320">
              <w:rPr>
                <w:rFonts w:asciiTheme="majorHAnsi" w:eastAsiaTheme="minorEastAsia" w:hAnsi="Arial"/>
                <w:color w:val="000000" w:themeColor="text1"/>
                <w:kern w:val="24"/>
                <w:sz w:val="19"/>
                <w:szCs w:val="19"/>
                <w:lang w:eastAsia="en-GB"/>
              </w:rPr>
              <w:t>Establish an expert advisory group</w:t>
            </w:r>
          </w:p>
        </w:tc>
        <w:tc>
          <w:tcPr>
            <w:tcW w:w="2080" w:type="dxa"/>
            <w:tcBorders>
              <w:top w:val="single" w:sz="8" w:space="0" w:color="000000"/>
              <w:left w:val="single" w:sz="8" w:space="0" w:color="000000"/>
              <w:bottom w:val="single" w:sz="8" w:space="0" w:color="000000"/>
              <w:right w:val="single" w:sz="8" w:space="0" w:color="000000"/>
            </w:tcBorders>
            <w:shd w:val="clear" w:color="auto" w:fill="DDEBF7"/>
            <w:tcMar>
              <w:top w:w="15" w:type="dxa"/>
              <w:left w:w="15" w:type="dxa"/>
              <w:bottom w:w="0" w:type="dxa"/>
              <w:right w:w="15" w:type="dxa"/>
            </w:tcMar>
            <w:vAlign w:val="center"/>
            <w:hideMark/>
          </w:tcPr>
          <w:p w14:paraId="527AA61D" w14:textId="77777777" w:rsidR="008644CE" w:rsidRPr="00516320" w:rsidRDefault="008644CE" w:rsidP="00516320">
            <w:pPr>
              <w:spacing w:before="0" w:after="0" w:line="240" w:lineRule="auto"/>
              <w:rPr>
                <w:rFonts w:ascii="Arial" w:eastAsia="Times New Roman" w:hAnsi="Arial" w:cs="Arial"/>
                <w:sz w:val="36"/>
                <w:szCs w:val="36"/>
                <w:lang w:eastAsia="en-GB"/>
              </w:rPr>
            </w:pPr>
            <w:r w:rsidRPr="00516320">
              <w:rPr>
                <w:rFonts w:asciiTheme="majorHAnsi" w:eastAsiaTheme="minorEastAsia" w:hAnsi="Arial"/>
                <w:color w:val="000000" w:themeColor="text1"/>
                <w:kern w:val="24"/>
                <w:sz w:val="19"/>
                <w:szCs w:val="19"/>
                <w:lang w:eastAsia="en-GB"/>
              </w:rPr>
              <w:t>Louise Dineley</w:t>
            </w:r>
          </w:p>
        </w:tc>
        <w:tc>
          <w:tcPr>
            <w:tcW w:w="516"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hideMark/>
          </w:tcPr>
          <w:p w14:paraId="26EB7130" w14:textId="77777777" w:rsidR="008644CE" w:rsidRPr="00516320" w:rsidRDefault="008644CE" w:rsidP="00516320">
            <w:pPr>
              <w:spacing w:before="0" w:after="0" w:line="240" w:lineRule="auto"/>
              <w:rPr>
                <w:rFonts w:ascii="Arial" w:eastAsia="Times New Roman" w:hAnsi="Arial" w:cs="Arial"/>
                <w:sz w:val="36"/>
                <w:szCs w:val="36"/>
                <w:lang w:eastAsia="en-GB"/>
              </w:rPr>
            </w:pPr>
          </w:p>
        </w:tc>
        <w:tc>
          <w:tcPr>
            <w:tcW w:w="567"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hideMark/>
          </w:tcPr>
          <w:p w14:paraId="3161F968" w14:textId="77777777" w:rsidR="008644CE" w:rsidRPr="00516320" w:rsidRDefault="008644CE" w:rsidP="00516320">
            <w:pPr>
              <w:spacing w:before="0" w:after="0" w:line="240" w:lineRule="auto"/>
              <w:rPr>
                <w:rFonts w:ascii="Times New Roman" w:eastAsia="Times New Roman" w:hAnsi="Times New Roman" w:cs="Times New Roman"/>
                <w:sz w:val="20"/>
                <w:szCs w:val="20"/>
                <w:lang w:eastAsia="en-GB"/>
              </w:rPr>
            </w:pPr>
          </w:p>
        </w:tc>
        <w:tc>
          <w:tcPr>
            <w:tcW w:w="567"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hideMark/>
          </w:tcPr>
          <w:p w14:paraId="16A9E2C0" w14:textId="77777777" w:rsidR="008644CE" w:rsidRPr="00516320" w:rsidRDefault="008644CE" w:rsidP="00516320">
            <w:pPr>
              <w:spacing w:before="0" w:after="0" w:line="240" w:lineRule="auto"/>
              <w:rPr>
                <w:rFonts w:ascii="Times New Roman" w:eastAsia="Times New Roman" w:hAnsi="Times New Roman" w:cs="Times New Roman"/>
                <w:sz w:val="20"/>
                <w:szCs w:val="20"/>
                <w:lang w:eastAsia="en-GB"/>
              </w:rPr>
            </w:pPr>
          </w:p>
        </w:tc>
        <w:tc>
          <w:tcPr>
            <w:tcW w:w="7229" w:type="dxa"/>
            <w:tcBorders>
              <w:top w:val="single" w:sz="8" w:space="0" w:color="000000"/>
              <w:left w:val="single" w:sz="8" w:space="0" w:color="000000"/>
              <w:bottom w:val="single" w:sz="8" w:space="0" w:color="000000"/>
              <w:right w:val="single" w:sz="8" w:space="0" w:color="000000"/>
            </w:tcBorders>
            <w:shd w:val="clear" w:color="auto" w:fill="F5F4F7"/>
            <w:tcMar>
              <w:top w:w="15" w:type="dxa"/>
              <w:left w:w="15" w:type="dxa"/>
              <w:bottom w:w="0" w:type="dxa"/>
              <w:right w:w="15" w:type="dxa"/>
            </w:tcMar>
            <w:vAlign w:val="center"/>
            <w:hideMark/>
          </w:tcPr>
          <w:p w14:paraId="0E6C9CAC" w14:textId="77777777" w:rsidR="008644CE" w:rsidRPr="00516320" w:rsidRDefault="008644CE" w:rsidP="00516320">
            <w:pPr>
              <w:spacing w:before="0" w:after="0" w:line="240" w:lineRule="auto"/>
              <w:textAlignment w:val="center"/>
              <w:rPr>
                <w:rFonts w:ascii="Arial" w:eastAsia="Times New Roman" w:hAnsi="Arial" w:cs="Arial"/>
                <w:sz w:val="36"/>
                <w:szCs w:val="36"/>
                <w:lang w:eastAsia="en-GB"/>
              </w:rPr>
            </w:pPr>
            <w:r w:rsidRPr="00516320">
              <w:rPr>
                <w:rFonts w:ascii="Arial" w:eastAsia="Times New Roman" w:hAnsi="Arial" w:cs="Arial"/>
                <w:color w:val="000000"/>
                <w:kern w:val="24"/>
                <w:sz w:val="19"/>
                <w:szCs w:val="19"/>
                <w:lang w:eastAsia="en-GB"/>
              </w:rPr>
              <w:t xml:space="preserve">This project is highly </w:t>
            </w:r>
            <w:proofErr w:type="spellStart"/>
            <w:r w:rsidRPr="00516320">
              <w:rPr>
                <w:rFonts w:ascii="Arial" w:eastAsia="Times New Roman" w:hAnsi="Arial" w:cs="Arial"/>
                <w:color w:val="000000"/>
                <w:kern w:val="24"/>
                <w:sz w:val="19"/>
                <w:szCs w:val="19"/>
                <w:lang w:eastAsia="en-GB"/>
              </w:rPr>
              <w:t>dependant</w:t>
            </w:r>
            <w:proofErr w:type="spellEnd"/>
            <w:r w:rsidRPr="00516320">
              <w:rPr>
                <w:rFonts w:ascii="Arial" w:eastAsia="Times New Roman" w:hAnsi="Arial" w:cs="Arial"/>
                <w:color w:val="000000"/>
                <w:kern w:val="24"/>
                <w:sz w:val="19"/>
                <w:szCs w:val="19"/>
                <w:lang w:eastAsia="en-GB"/>
              </w:rPr>
              <w:t xml:space="preserve"> on the revision of the horizon scanning process that is being completed as part of BAU activity. However, work is being done to determine the purpose and governance – and to ensure there is internal agreement on the purpose and governance of the Insight Network.</w:t>
            </w:r>
          </w:p>
        </w:tc>
      </w:tr>
      <w:tr w:rsidR="008644CE" w:rsidRPr="00516320" w14:paraId="4DB13752" w14:textId="77777777" w:rsidTr="000D37D0">
        <w:trPr>
          <w:trHeight w:val="867"/>
        </w:trPr>
        <w:tc>
          <w:tcPr>
            <w:tcW w:w="0" w:type="auto"/>
            <w:vMerge/>
            <w:tcBorders>
              <w:left w:val="single" w:sz="8" w:space="0" w:color="000000"/>
              <w:right w:val="single" w:sz="8" w:space="0" w:color="000000"/>
            </w:tcBorders>
            <w:vAlign w:val="center"/>
            <w:hideMark/>
          </w:tcPr>
          <w:p w14:paraId="12B415A4" w14:textId="77777777" w:rsidR="008644CE" w:rsidRPr="00516320" w:rsidRDefault="008644CE" w:rsidP="00516320">
            <w:pPr>
              <w:spacing w:before="0" w:after="0" w:line="240" w:lineRule="auto"/>
              <w:rPr>
                <w:rFonts w:ascii="Arial" w:eastAsia="Times New Roman" w:hAnsi="Arial" w:cs="Arial"/>
                <w:sz w:val="36"/>
                <w:szCs w:val="36"/>
                <w:lang w:eastAsia="en-GB"/>
              </w:rPr>
            </w:pPr>
          </w:p>
        </w:tc>
        <w:tc>
          <w:tcPr>
            <w:tcW w:w="2331" w:type="dxa"/>
            <w:tcBorders>
              <w:top w:val="single" w:sz="8" w:space="0" w:color="000000"/>
              <w:left w:val="single" w:sz="8" w:space="0" w:color="000000"/>
              <w:bottom w:val="single" w:sz="8" w:space="0" w:color="000000"/>
              <w:right w:val="single" w:sz="8" w:space="0" w:color="000000"/>
            </w:tcBorders>
            <w:shd w:val="clear" w:color="auto" w:fill="DDEBF7"/>
            <w:tcMar>
              <w:top w:w="15" w:type="dxa"/>
              <w:left w:w="15" w:type="dxa"/>
              <w:bottom w:w="0" w:type="dxa"/>
              <w:right w:w="15" w:type="dxa"/>
            </w:tcMar>
            <w:vAlign w:val="center"/>
            <w:hideMark/>
          </w:tcPr>
          <w:p w14:paraId="21AEE55C" w14:textId="77777777" w:rsidR="008644CE" w:rsidRPr="00516320" w:rsidRDefault="008644CE" w:rsidP="00516320">
            <w:pPr>
              <w:spacing w:before="0" w:after="0" w:line="240" w:lineRule="auto"/>
              <w:rPr>
                <w:rFonts w:ascii="Arial" w:eastAsia="Times New Roman" w:hAnsi="Arial" w:cs="Arial"/>
                <w:sz w:val="36"/>
                <w:szCs w:val="36"/>
                <w:lang w:eastAsia="en-GB"/>
              </w:rPr>
            </w:pPr>
            <w:r w:rsidRPr="00516320">
              <w:rPr>
                <w:rFonts w:asciiTheme="majorHAnsi" w:eastAsiaTheme="minorEastAsia" w:hAnsi="Arial"/>
                <w:color w:val="000000" w:themeColor="text1"/>
                <w:kern w:val="24"/>
                <w:sz w:val="19"/>
                <w:szCs w:val="19"/>
                <w:lang w:eastAsia="en-GB"/>
              </w:rPr>
              <w:t>Data collection exercise</w:t>
            </w:r>
          </w:p>
        </w:tc>
        <w:tc>
          <w:tcPr>
            <w:tcW w:w="2080" w:type="dxa"/>
            <w:tcBorders>
              <w:top w:val="single" w:sz="8" w:space="0" w:color="000000"/>
              <w:left w:val="single" w:sz="8" w:space="0" w:color="000000"/>
              <w:bottom w:val="single" w:sz="8" w:space="0" w:color="000000"/>
              <w:right w:val="single" w:sz="8" w:space="0" w:color="000000"/>
            </w:tcBorders>
            <w:shd w:val="clear" w:color="auto" w:fill="DDEBF7"/>
            <w:tcMar>
              <w:top w:w="15" w:type="dxa"/>
              <w:left w:w="15" w:type="dxa"/>
              <w:bottom w:w="0" w:type="dxa"/>
              <w:right w:w="15" w:type="dxa"/>
            </w:tcMar>
            <w:vAlign w:val="center"/>
            <w:hideMark/>
          </w:tcPr>
          <w:p w14:paraId="4DA1B76A" w14:textId="77777777" w:rsidR="008644CE" w:rsidRPr="00516320" w:rsidRDefault="008644CE" w:rsidP="00516320">
            <w:pPr>
              <w:spacing w:before="0" w:after="0" w:line="240" w:lineRule="auto"/>
              <w:textAlignment w:val="center"/>
              <w:rPr>
                <w:rFonts w:ascii="Arial" w:eastAsia="Times New Roman" w:hAnsi="Arial" w:cs="Arial"/>
                <w:sz w:val="36"/>
                <w:szCs w:val="36"/>
                <w:lang w:eastAsia="en-GB"/>
              </w:rPr>
            </w:pPr>
            <w:r w:rsidRPr="00516320">
              <w:rPr>
                <w:rFonts w:eastAsiaTheme="minorEastAsia" w:hAnsi="Arial"/>
                <w:color w:val="000000" w:themeColor="text1"/>
                <w:kern w:val="24"/>
                <w:sz w:val="19"/>
                <w:szCs w:val="19"/>
                <w:lang w:eastAsia="en-GB"/>
              </w:rPr>
              <w:t>Nicolette Harrison</w:t>
            </w:r>
          </w:p>
        </w:tc>
        <w:tc>
          <w:tcPr>
            <w:tcW w:w="516"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hideMark/>
          </w:tcPr>
          <w:p w14:paraId="18B16C94" w14:textId="77777777" w:rsidR="008644CE" w:rsidRPr="00516320" w:rsidRDefault="008644CE" w:rsidP="00516320">
            <w:pPr>
              <w:spacing w:before="0" w:after="0" w:line="240" w:lineRule="auto"/>
              <w:rPr>
                <w:rFonts w:ascii="Arial" w:eastAsia="Times New Roman" w:hAnsi="Arial" w:cs="Arial"/>
                <w:sz w:val="36"/>
                <w:szCs w:val="36"/>
                <w:lang w:eastAsia="en-GB"/>
              </w:rPr>
            </w:pPr>
          </w:p>
        </w:tc>
        <w:tc>
          <w:tcPr>
            <w:tcW w:w="567"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hideMark/>
          </w:tcPr>
          <w:p w14:paraId="699F1AD7" w14:textId="77777777" w:rsidR="008644CE" w:rsidRPr="00516320" w:rsidRDefault="008644CE" w:rsidP="00516320">
            <w:pPr>
              <w:spacing w:before="0" w:after="0" w:line="240" w:lineRule="auto"/>
              <w:rPr>
                <w:rFonts w:ascii="Times New Roman" w:eastAsia="Times New Roman" w:hAnsi="Times New Roman" w:cs="Times New Roman"/>
                <w:sz w:val="20"/>
                <w:szCs w:val="20"/>
                <w:lang w:eastAsia="en-GB"/>
              </w:rPr>
            </w:pPr>
          </w:p>
        </w:tc>
        <w:tc>
          <w:tcPr>
            <w:tcW w:w="567"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hideMark/>
          </w:tcPr>
          <w:p w14:paraId="17D5A956" w14:textId="77777777" w:rsidR="008644CE" w:rsidRPr="00516320" w:rsidRDefault="008644CE" w:rsidP="00516320">
            <w:pPr>
              <w:spacing w:before="0" w:after="0" w:line="240" w:lineRule="auto"/>
              <w:rPr>
                <w:rFonts w:ascii="Times New Roman" w:eastAsia="Times New Roman" w:hAnsi="Times New Roman" w:cs="Times New Roman"/>
                <w:sz w:val="20"/>
                <w:szCs w:val="20"/>
                <w:lang w:eastAsia="en-GB"/>
              </w:rPr>
            </w:pPr>
          </w:p>
        </w:tc>
        <w:tc>
          <w:tcPr>
            <w:tcW w:w="7229" w:type="dxa"/>
            <w:tcBorders>
              <w:top w:val="single" w:sz="8" w:space="0" w:color="000000"/>
              <w:left w:val="single" w:sz="8" w:space="0" w:color="000000"/>
              <w:bottom w:val="single" w:sz="8" w:space="0" w:color="000000"/>
              <w:right w:val="single" w:sz="8" w:space="0" w:color="000000"/>
            </w:tcBorders>
            <w:shd w:val="clear" w:color="auto" w:fill="F5F4F7"/>
            <w:tcMar>
              <w:top w:w="15" w:type="dxa"/>
              <w:left w:w="15" w:type="dxa"/>
              <w:bottom w:w="0" w:type="dxa"/>
              <w:right w:w="15" w:type="dxa"/>
            </w:tcMar>
            <w:vAlign w:val="center"/>
            <w:hideMark/>
          </w:tcPr>
          <w:p w14:paraId="7ACE0C0D" w14:textId="77777777" w:rsidR="008644CE" w:rsidRPr="00516320" w:rsidRDefault="008644CE" w:rsidP="00516320">
            <w:pPr>
              <w:spacing w:before="0" w:after="0" w:line="240" w:lineRule="auto"/>
              <w:textAlignment w:val="center"/>
              <w:rPr>
                <w:rFonts w:ascii="Arial" w:eastAsia="Times New Roman" w:hAnsi="Arial" w:cs="Arial"/>
                <w:sz w:val="36"/>
                <w:szCs w:val="36"/>
                <w:lang w:eastAsia="en-GB"/>
              </w:rPr>
            </w:pPr>
            <w:r w:rsidRPr="00516320">
              <w:rPr>
                <w:rFonts w:eastAsiaTheme="minorEastAsia" w:hAnsi="Arial"/>
                <w:color w:val="000000" w:themeColor="text1"/>
                <w:kern w:val="24"/>
                <w:sz w:val="19"/>
                <w:szCs w:val="19"/>
                <w:lang w:eastAsia="en-GB"/>
              </w:rPr>
              <w:t>A sector-focused data collection exercise to inform our assessment of risk. Questionnaires due to be issued and data returned during Q1</w:t>
            </w:r>
          </w:p>
        </w:tc>
      </w:tr>
      <w:tr w:rsidR="008644CE" w:rsidRPr="00516320" w14:paraId="2008FCA6" w14:textId="77777777" w:rsidTr="000D37D0">
        <w:trPr>
          <w:trHeight w:val="867"/>
        </w:trPr>
        <w:tc>
          <w:tcPr>
            <w:tcW w:w="0" w:type="auto"/>
            <w:vMerge/>
            <w:tcBorders>
              <w:left w:val="single" w:sz="8" w:space="0" w:color="000000"/>
              <w:right w:val="single" w:sz="8" w:space="0" w:color="000000"/>
            </w:tcBorders>
            <w:vAlign w:val="center"/>
            <w:hideMark/>
          </w:tcPr>
          <w:p w14:paraId="22A43482" w14:textId="77777777" w:rsidR="008644CE" w:rsidRPr="00516320" w:rsidRDefault="008644CE" w:rsidP="00516320">
            <w:pPr>
              <w:spacing w:before="0" w:after="0" w:line="240" w:lineRule="auto"/>
              <w:rPr>
                <w:rFonts w:ascii="Arial" w:eastAsia="Times New Roman" w:hAnsi="Arial" w:cs="Arial"/>
                <w:sz w:val="36"/>
                <w:szCs w:val="36"/>
                <w:lang w:eastAsia="en-GB"/>
              </w:rPr>
            </w:pPr>
          </w:p>
        </w:tc>
        <w:tc>
          <w:tcPr>
            <w:tcW w:w="2331" w:type="dxa"/>
            <w:tcBorders>
              <w:top w:val="single" w:sz="8" w:space="0" w:color="000000"/>
              <w:left w:val="single" w:sz="8" w:space="0" w:color="000000"/>
              <w:bottom w:val="single" w:sz="8" w:space="0" w:color="000000"/>
              <w:right w:val="single" w:sz="8" w:space="0" w:color="000000"/>
            </w:tcBorders>
            <w:shd w:val="clear" w:color="auto" w:fill="DDEBF7"/>
            <w:tcMar>
              <w:top w:w="15" w:type="dxa"/>
              <w:left w:w="15" w:type="dxa"/>
              <w:bottom w:w="0" w:type="dxa"/>
              <w:right w:w="15" w:type="dxa"/>
            </w:tcMar>
            <w:vAlign w:val="center"/>
            <w:hideMark/>
          </w:tcPr>
          <w:p w14:paraId="107F3266" w14:textId="77777777" w:rsidR="008644CE" w:rsidRPr="00516320" w:rsidRDefault="008644CE" w:rsidP="00516320">
            <w:pPr>
              <w:spacing w:before="0" w:after="0" w:line="240" w:lineRule="auto"/>
              <w:rPr>
                <w:rFonts w:ascii="Arial" w:eastAsia="Times New Roman" w:hAnsi="Arial" w:cs="Arial"/>
                <w:sz w:val="36"/>
                <w:szCs w:val="36"/>
                <w:lang w:eastAsia="en-GB"/>
              </w:rPr>
            </w:pPr>
            <w:r w:rsidRPr="00516320">
              <w:rPr>
                <w:rFonts w:asciiTheme="majorHAnsi" w:eastAsiaTheme="minorEastAsia" w:hAnsi="Arial"/>
                <w:color w:val="000000" w:themeColor="text1"/>
                <w:kern w:val="24"/>
                <w:sz w:val="19"/>
                <w:szCs w:val="19"/>
                <w:lang w:eastAsia="en-GB"/>
              </w:rPr>
              <w:t>Review of inspections</w:t>
            </w:r>
          </w:p>
        </w:tc>
        <w:tc>
          <w:tcPr>
            <w:tcW w:w="2080" w:type="dxa"/>
            <w:tcBorders>
              <w:top w:val="single" w:sz="8" w:space="0" w:color="000000"/>
              <w:left w:val="single" w:sz="8" w:space="0" w:color="000000"/>
              <w:bottom w:val="single" w:sz="8" w:space="0" w:color="000000"/>
              <w:right w:val="single" w:sz="8" w:space="0" w:color="000000"/>
            </w:tcBorders>
            <w:shd w:val="clear" w:color="auto" w:fill="DDEBF7"/>
            <w:tcMar>
              <w:top w:w="15" w:type="dxa"/>
              <w:left w:w="15" w:type="dxa"/>
              <w:bottom w:w="0" w:type="dxa"/>
              <w:right w:w="15" w:type="dxa"/>
            </w:tcMar>
            <w:vAlign w:val="center"/>
            <w:hideMark/>
          </w:tcPr>
          <w:p w14:paraId="7ABD3E5B" w14:textId="77777777" w:rsidR="008644CE" w:rsidRPr="00516320" w:rsidRDefault="008644CE" w:rsidP="00516320">
            <w:pPr>
              <w:spacing w:before="0" w:after="0" w:line="240" w:lineRule="auto"/>
              <w:textAlignment w:val="center"/>
              <w:rPr>
                <w:rFonts w:ascii="Arial" w:eastAsia="Times New Roman" w:hAnsi="Arial" w:cs="Arial"/>
                <w:sz w:val="36"/>
                <w:szCs w:val="36"/>
                <w:lang w:eastAsia="en-GB"/>
              </w:rPr>
            </w:pPr>
            <w:r w:rsidRPr="00516320">
              <w:rPr>
                <w:rFonts w:eastAsiaTheme="minorEastAsia" w:hAnsi="Arial"/>
                <w:color w:val="000000" w:themeColor="text1"/>
                <w:kern w:val="24"/>
                <w:sz w:val="19"/>
                <w:szCs w:val="19"/>
                <w:lang w:eastAsia="en-GB"/>
              </w:rPr>
              <w:t>Nicolette Harrison</w:t>
            </w:r>
          </w:p>
        </w:tc>
        <w:tc>
          <w:tcPr>
            <w:tcW w:w="516"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hideMark/>
          </w:tcPr>
          <w:p w14:paraId="3CB9BEE3" w14:textId="77777777" w:rsidR="008644CE" w:rsidRPr="00516320" w:rsidRDefault="008644CE" w:rsidP="00516320">
            <w:pPr>
              <w:spacing w:before="0" w:after="0" w:line="240" w:lineRule="auto"/>
              <w:rPr>
                <w:rFonts w:ascii="Arial" w:eastAsia="Times New Roman" w:hAnsi="Arial" w:cs="Arial"/>
                <w:sz w:val="36"/>
                <w:szCs w:val="36"/>
                <w:lang w:eastAsia="en-GB"/>
              </w:rPr>
            </w:pPr>
          </w:p>
        </w:tc>
        <w:tc>
          <w:tcPr>
            <w:tcW w:w="567"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hideMark/>
          </w:tcPr>
          <w:p w14:paraId="3CDCDCBD" w14:textId="77777777" w:rsidR="008644CE" w:rsidRPr="00516320" w:rsidRDefault="008644CE" w:rsidP="00516320">
            <w:pPr>
              <w:spacing w:before="0" w:after="0" w:line="240" w:lineRule="auto"/>
              <w:rPr>
                <w:rFonts w:ascii="Times New Roman" w:eastAsia="Times New Roman" w:hAnsi="Times New Roman" w:cs="Times New Roman"/>
                <w:sz w:val="20"/>
                <w:szCs w:val="20"/>
                <w:lang w:eastAsia="en-GB"/>
              </w:rPr>
            </w:pPr>
          </w:p>
        </w:tc>
        <w:tc>
          <w:tcPr>
            <w:tcW w:w="567"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hideMark/>
          </w:tcPr>
          <w:p w14:paraId="000D0313" w14:textId="77777777" w:rsidR="008644CE" w:rsidRPr="00516320" w:rsidRDefault="008644CE" w:rsidP="00516320">
            <w:pPr>
              <w:spacing w:before="0" w:after="0" w:line="240" w:lineRule="auto"/>
              <w:rPr>
                <w:rFonts w:ascii="Times New Roman" w:eastAsia="Times New Roman" w:hAnsi="Times New Roman" w:cs="Times New Roman"/>
                <w:sz w:val="20"/>
                <w:szCs w:val="20"/>
                <w:lang w:eastAsia="en-GB"/>
              </w:rPr>
            </w:pPr>
          </w:p>
        </w:tc>
        <w:tc>
          <w:tcPr>
            <w:tcW w:w="7229" w:type="dxa"/>
            <w:tcBorders>
              <w:top w:val="single" w:sz="8" w:space="0" w:color="000000"/>
              <w:left w:val="single" w:sz="8" w:space="0" w:color="000000"/>
              <w:bottom w:val="single" w:sz="8" w:space="0" w:color="000000"/>
              <w:right w:val="single" w:sz="8" w:space="0" w:color="000000"/>
            </w:tcBorders>
            <w:shd w:val="clear" w:color="auto" w:fill="F5F4F7"/>
            <w:tcMar>
              <w:top w:w="15" w:type="dxa"/>
              <w:left w:w="15" w:type="dxa"/>
              <w:bottom w:w="0" w:type="dxa"/>
              <w:right w:w="15" w:type="dxa"/>
            </w:tcMar>
            <w:vAlign w:val="center"/>
            <w:hideMark/>
          </w:tcPr>
          <w:p w14:paraId="0E3B9D2A" w14:textId="77777777" w:rsidR="008644CE" w:rsidRPr="00516320" w:rsidRDefault="008644CE" w:rsidP="00516320">
            <w:pPr>
              <w:spacing w:before="0" w:after="0" w:line="240" w:lineRule="auto"/>
              <w:textAlignment w:val="bottom"/>
              <w:rPr>
                <w:rFonts w:ascii="Arial" w:eastAsia="Times New Roman" w:hAnsi="Arial" w:cs="Arial"/>
                <w:sz w:val="36"/>
                <w:szCs w:val="36"/>
                <w:lang w:eastAsia="en-GB"/>
              </w:rPr>
            </w:pPr>
            <w:r w:rsidRPr="00516320">
              <w:rPr>
                <w:rFonts w:eastAsiaTheme="minorEastAsia" w:hAnsi="Arial"/>
                <w:color w:val="000000" w:themeColor="text1"/>
                <w:kern w:val="24"/>
                <w:sz w:val="19"/>
                <w:szCs w:val="19"/>
                <w:lang w:eastAsia="en-GB"/>
              </w:rPr>
              <w:t>External consultants have been appointed following a competitive tendering exercise. Project due to start in Q1</w:t>
            </w:r>
          </w:p>
        </w:tc>
      </w:tr>
      <w:tr w:rsidR="008644CE" w:rsidRPr="00516320" w14:paraId="177F328A" w14:textId="77777777" w:rsidTr="000D37D0">
        <w:trPr>
          <w:trHeight w:val="867"/>
        </w:trPr>
        <w:tc>
          <w:tcPr>
            <w:tcW w:w="0" w:type="auto"/>
            <w:vMerge/>
            <w:tcBorders>
              <w:left w:val="single" w:sz="8" w:space="0" w:color="000000"/>
              <w:right w:val="single" w:sz="8" w:space="0" w:color="000000"/>
            </w:tcBorders>
            <w:vAlign w:val="center"/>
            <w:hideMark/>
          </w:tcPr>
          <w:p w14:paraId="13D129C5" w14:textId="77777777" w:rsidR="008644CE" w:rsidRPr="00516320" w:rsidRDefault="008644CE" w:rsidP="00516320">
            <w:pPr>
              <w:spacing w:before="0" w:after="0" w:line="240" w:lineRule="auto"/>
              <w:rPr>
                <w:rFonts w:ascii="Arial" w:eastAsia="Times New Roman" w:hAnsi="Arial" w:cs="Arial"/>
                <w:sz w:val="36"/>
                <w:szCs w:val="36"/>
                <w:lang w:eastAsia="en-GB"/>
              </w:rPr>
            </w:pPr>
          </w:p>
        </w:tc>
        <w:tc>
          <w:tcPr>
            <w:tcW w:w="2331" w:type="dxa"/>
            <w:tcBorders>
              <w:top w:val="single" w:sz="8" w:space="0" w:color="000000"/>
              <w:left w:val="single" w:sz="8" w:space="0" w:color="000000"/>
              <w:bottom w:val="single" w:sz="8" w:space="0" w:color="000000"/>
              <w:right w:val="single" w:sz="8" w:space="0" w:color="000000"/>
            </w:tcBorders>
            <w:shd w:val="clear" w:color="auto" w:fill="DDEBF7"/>
            <w:tcMar>
              <w:top w:w="15" w:type="dxa"/>
              <w:left w:w="15" w:type="dxa"/>
              <w:bottom w:w="0" w:type="dxa"/>
              <w:right w:w="15" w:type="dxa"/>
            </w:tcMar>
            <w:vAlign w:val="center"/>
            <w:hideMark/>
          </w:tcPr>
          <w:p w14:paraId="5A3C1413" w14:textId="77777777" w:rsidR="008644CE" w:rsidRPr="00516320" w:rsidRDefault="008644CE" w:rsidP="00516320">
            <w:pPr>
              <w:spacing w:before="0" w:after="0" w:line="240" w:lineRule="auto"/>
              <w:rPr>
                <w:rFonts w:ascii="Arial" w:eastAsia="Times New Roman" w:hAnsi="Arial" w:cs="Arial"/>
                <w:sz w:val="36"/>
                <w:szCs w:val="36"/>
                <w:lang w:eastAsia="en-GB"/>
              </w:rPr>
            </w:pPr>
            <w:r w:rsidRPr="00516320">
              <w:rPr>
                <w:rFonts w:asciiTheme="majorHAnsi" w:eastAsiaTheme="minorEastAsia" w:hAnsi="Arial"/>
                <w:color w:val="000000" w:themeColor="text1"/>
                <w:kern w:val="24"/>
                <w:sz w:val="19"/>
                <w:szCs w:val="19"/>
                <w:lang w:eastAsia="en-GB"/>
              </w:rPr>
              <w:t>Independent Inquiry (Fuller)</w:t>
            </w:r>
          </w:p>
        </w:tc>
        <w:tc>
          <w:tcPr>
            <w:tcW w:w="2080" w:type="dxa"/>
            <w:tcBorders>
              <w:top w:val="single" w:sz="8" w:space="0" w:color="000000"/>
              <w:left w:val="single" w:sz="8" w:space="0" w:color="000000"/>
              <w:bottom w:val="single" w:sz="8" w:space="0" w:color="000000"/>
              <w:right w:val="single" w:sz="8" w:space="0" w:color="000000"/>
            </w:tcBorders>
            <w:shd w:val="clear" w:color="auto" w:fill="DDEBF7"/>
            <w:tcMar>
              <w:top w:w="15" w:type="dxa"/>
              <w:left w:w="15" w:type="dxa"/>
              <w:bottom w:w="0" w:type="dxa"/>
              <w:right w:w="15" w:type="dxa"/>
            </w:tcMar>
            <w:vAlign w:val="center"/>
            <w:hideMark/>
          </w:tcPr>
          <w:p w14:paraId="4DDB0EDE" w14:textId="77777777" w:rsidR="008644CE" w:rsidRPr="00516320" w:rsidRDefault="008644CE" w:rsidP="00516320">
            <w:pPr>
              <w:spacing w:before="0" w:after="0" w:line="240" w:lineRule="auto"/>
              <w:textAlignment w:val="center"/>
              <w:rPr>
                <w:rFonts w:ascii="Arial" w:eastAsia="Times New Roman" w:hAnsi="Arial" w:cs="Arial"/>
                <w:sz w:val="36"/>
                <w:szCs w:val="36"/>
                <w:lang w:eastAsia="en-GB"/>
              </w:rPr>
            </w:pPr>
            <w:r w:rsidRPr="00516320">
              <w:rPr>
                <w:rFonts w:eastAsiaTheme="minorEastAsia" w:hAnsi="Arial"/>
                <w:color w:val="000000" w:themeColor="text1"/>
                <w:kern w:val="24"/>
                <w:sz w:val="19"/>
                <w:szCs w:val="19"/>
                <w:lang w:eastAsia="en-GB"/>
              </w:rPr>
              <w:t>Nicolette Harrison</w:t>
            </w:r>
          </w:p>
        </w:tc>
        <w:tc>
          <w:tcPr>
            <w:tcW w:w="516"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hideMark/>
          </w:tcPr>
          <w:p w14:paraId="213DBED9" w14:textId="77777777" w:rsidR="008644CE" w:rsidRPr="00516320" w:rsidRDefault="008644CE" w:rsidP="00516320">
            <w:pPr>
              <w:spacing w:before="0" w:after="0" w:line="240" w:lineRule="auto"/>
              <w:rPr>
                <w:rFonts w:ascii="Arial" w:eastAsia="Times New Roman" w:hAnsi="Arial" w:cs="Arial"/>
                <w:sz w:val="36"/>
                <w:szCs w:val="36"/>
                <w:lang w:eastAsia="en-GB"/>
              </w:rPr>
            </w:pPr>
          </w:p>
        </w:tc>
        <w:tc>
          <w:tcPr>
            <w:tcW w:w="567"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hideMark/>
          </w:tcPr>
          <w:p w14:paraId="58CF5E9A" w14:textId="77777777" w:rsidR="008644CE" w:rsidRPr="00516320" w:rsidRDefault="008644CE" w:rsidP="00516320">
            <w:pPr>
              <w:spacing w:before="0" w:after="0" w:line="240" w:lineRule="auto"/>
              <w:rPr>
                <w:rFonts w:ascii="Times New Roman" w:eastAsia="Times New Roman" w:hAnsi="Times New Roman" w:cs="Times New Roman"/>
                <w:sz w:val="20"/>
                <w:szCs w:val="20"/>
                <w:lang w:eastAsia="en-GB"/>
              </w:rPr>
            </w:pPr>
          </w:p>
        </w:tc>
        <w:tc>
          <w:tcPr>
            <w:tcW w:w="567"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hideMark/>
          </w:tcPr>
          <w:p w14:paraId="266D16A2" w14:textId="77777777" w:rsidR="008644CE" w:rsidRPr="00516320" w:rsidRDefault="008644CE" w:rsidP="00516320">
            <w:pPr>
              <w:spacing w:before="0" w:after="0" w:line="240" w:lineRule="auto"/>
              <w:rPr>
                <w:rFonts w:ascii="Times New Roman" w:eastAsia="Times New Roman" w:hAnsi="Times New Roman" w:cs="Times New Roman"/>
                <w:sz w:val="20"/>
                <w:szCs w:val="20"/>
                <w:lang w:eastAsia="en-GB"/>
              </w:rPr>
            </w:pPr>
          </w:p>
        </w:tc>
        <w:tc>
          <w:tcPr>
            <w:tcW w:w="7229" w:type="dxa"/>
            <w:tcBorders>
              <w:top w:val="single" w:sz="8" w:space="0" w:color="000000"/>
              <w:left w:val="single" w:sz="8" w:space="0" w:color="000000"/>
              <w:bottom w:val="single" w:sz="8" w:space="0" w:color="000000"/>
              <w:right w:val="single" w:sz="8" w:space="0" w:color="000000"/>
            </w:tcBorders>
            <w:shd w:val="clear" w:color="auto" w:fill="F5F4F7"/>
            <w:tcMar>
              <w:top w:w="15" w:type="dxa"/>
              <w:left w:w="15" w:type="dxa"/>
              <w:bottom w:w="0" w:type="dxa"/>
              <w:right w:w="15" w:type="dxa"/>
            </w:tcMar>
            <w:vAlign w:val="center"/>
            <w:hideMark/>
          </w:tcPr>
          <w:p w14:paraId="420A12C7" w14:textId="77777777" w:rsidR="008644CE" w:rsidRPr="00516320" w:rsidRDefault="008644CE" w:rsidP="00516320">
            <w:pPr>
              <w:spacing w:before="0" w:after="0" w:line="240" w:lineRule="auto"/>
              <w:textAlignment w:val="center"/>
              <w:rPr>
                <w:rFonts w:ascii="Arial" w:eastAsia="Times New Roman" w:hAnsi="Arial" w:cs="Arial"/>
                <w:sz w:val="36"/>
                <w:szCs w:val="36"/>
                <w:lang w:eastAsia="en-GB"/>
              </w:rPr>
            </w:pPr>
            <w:r w:rsidRPr="00516320">
              <w:rPr>
                <w:rFonts w:eastAsiaTheme="minorEastAsia" w:hAnsi="Arial"/>
                <w:color w:val="000000" w:themeColor="text1"/>
                <w:kern w:val="24"/>
                <w:sz w:val="19"/>
                <w:szCs w:val="19"/>
                <w:lang w:eastAsia="en-GB"/>
              </w:rPr>
              <w:t>Continuing activity to provide evidence and input into Sir Jonathan Michael’s Independent Inquiry and take forward other activities as set out in the HTA’s advice to the Secretary of State for Health and Social Care in December 2021</w:t>
            </w:r>
          </w:p>
        </w:tc>
      </w:tr>
      <w:tr w:rsidR="008644CE" w:rsidRPr="00516320" w14:paraId="2CDF5F2D" w14:textId="77777777" w:rsidTr="000D37D0">
        <w:trPr>
          <w:trHeight w:val="867"/>
        </w:trPr>
        <w:tc>
          <w:tcPr>
            <w:tcW w:w="0" w:type="auto"/>
            <w:vMerge/>
            <w:tcBorders>
              <w:left w:val="single" w:sz="8" w:space="0" w:color="000000"/>
              <w:right w:val="single" w:sz="8" w:space="0" w:color="000000"/>
            </w:tcBorders>
            <w:shd w:val="clear" w:color="auto" w:fill="002060"/>
            <w:vAlign w:val="center"/>
          </w:tcPr>
          <w:p w14:paraId="5C04A6A4" w14:textId="77777777" w:rsidR="008644CE" w:rsidRPr="00516320" w:rsidRDefault="008644CE" w:rsidP="004911AE">
            <w:pPr>
              <w:spacing w:before="0" w:after="0" w:line="240" w:lineRule="auto"/>
              <w:rPr>
                <w:rFonts w:ascii="Arial" w:eastAsia="Times New Roman" w:hAnsi="Arial" w:cs="Arial"/>
                <w:sz w:val="36"/>
                <w:szCs w:val="36"/>
                <w:lang w:eastAsia="en-GB"/>
              </w:rPr>
            </w:pPr>
          </w:p>
        </w:tc>
        <w:tc>
          <w:tcPr>
            <w:tcW w:w="2331" w:type="dxa"/>
            <w:tcBorders>
              <w:top w:val="single" w:sz="8" w:space="0" w:color="000000"/>
              <w:left w:val="single" w:sz="8" w:space="0" w:color="000000"/>
              <w:bottom w:val="single" w:sz="8" w:space="0" w:color="000000"/>
              <w:right w:val="single" w:sz="8" w:space="0" w:color="000000"/>
            </w:tcBorders>
            <w:shd w:val="clear" w:color="auto" w:fill="DDEBF7"/>
            <w:tcMar>
              <w:top w:w="15" w:type="dxa"/>
              <w:left w:w="15" w:type="dxa"/>
              <w:bottom w:w="0" w:type="dxa"/>
              <w:right w:w="15" w:type="dxa"/>
            </w:tcMar>
            <w:vAlign w:val="center"/>
          </w:tcPr>
          <w:p w14:paraId="3979C7B5" w14:textId="0C485128" w:rsidR="008644CE" w:rsidRPr="00516320" w:rsidRDefault="008644CE" w:rsidP="004911AE">
            <w:pPr>
              <w:spacing w:before="0" w:after="0" w:line="240" w:lineRule="auto"/>
              <w:rPr>
                <w:rFonts w:asciiTheme="majorHAnsi" w:eastAsiaTheme="minorEastAsia" w:hAnsi="Arial"/>
                <w:color w:val="000000" w:themeColor="text1"/>
                <w:kern w:val="24"/>
                <w:sz w:val="19"/>
                <w:szCs w:val="19"/>
                <w:lang w:eastAsia="en-GB"/>
              </w:rPr>
            </w:pPr>
            <w:r w:rsidRPr="00BB5A00">
              <w:rPr>
                <w:rFonts w:asciiTheme="majorHAnsi" w:eastAsiaTheme="minorEastAsia" w:hAnsi="Arial"/>
                <w:color w:val="000000" w:themeColor="text1"/>
                <w:kern w:val="24"/>
                <w:sz w:val="19"/>
                <w:szCs w:val="19"/>
                <w:lang w:eastAsia="en-GB"/>
              </w:rPr>
              <w:t>Living Organ Donation approvals</w:t>
            </w:r>
          </w:p>
        </w:tc>
        <w:tc>
          <w:tcPr>
            <w:tcW w:w="2080" w:type="dxa"/>
            <w:tcBorders>
              <w:top w:val="single" w:sz="8" w:space="0" w:color="000000"/>
              <w:left w:val="single" w:sz="8" w:space="0" w:color="000000"/>
              <w:bottom w:val="single" w:sz="8" w:space="0" w:color="000000"/>
              <w:right w:val="single" w:sz="8" w:space="0" w:color="000000"/>
            </w:tcBorders>
            <w:shd w:val="clear" w:color="auto" w:fill="DDEBF7"/>
            <w:tcMar>
              <w:top w:w="15" w:type="dxa"/>
              <w:left w:w="15" w:type="dxa"/>
              <w:bottom w:w="0" w:type="dxa"/>
              <w:right w:w="15" w:type="dxa"/>
            </w:tcMar>
            <w:vAlign w:val="center"/>
          </w:tcPr>
          <w:p w14:paraId="0FEF3456" w14:textId="4D5E1245" w:rsidR="008644CE" w:rsidRPr="00516320" w:rsidRDefault="008644CE" w:rsidP="004911AE">
            <w:pPr>
              <w:spacing w:before="0" w:after="0" w:line="240" w:lineRule="auto"/>
              <w:textAlignment w:val="center"/>
              <w:rPr>
                <w:rFonts w:eastAsiaTheme="minorEastAsia" w:hAnsi="Arial"/>
                <w:color w:val="000000" w:themeColor="text1"/>
                <w:kern w:val="24"/>
                <w:sz w:val="19"/>
                <w:szCs w:val="19"/>
                <w:lang w:eastAsia="en-GB"/>
              </w:rPr>
            </w:pPr>
            <w:r w:rsidRPr="00BB5A00">
              <w:rPr>
                <w:rFonts w:eastAsiaTheme="minorEastAsia" w:hAnsi="Arial"/>
                <w:color w:val="000000" w:themeColor="text1"/>
                <w:kern w:val="24"/>
                <w:sz w:val="19"/>
                <w:szCs w:val="19"/>
                <w:lang w:eastAsia="en-GB"/>
              </w:rPr>
              <w:t>Nicolette Harrison</w:t>
            </w:r>
          </w:p>
        </w:tc>
        <w:tc>
          <w:tcPr>
            <w:tcW w:w="51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66B788F4" w14:textId="77777777" w:rsidR="008644CE" w:rsidRPr="00516320" w:rsidRDefault="008644CE" w:rsidP="004911AE">
            <w:pPr>
              <w:spacing w:before="0" w:after="0" w:line="240" w:lineRule="auto"/>
              <w:rPr>
                <w:rFonts w:ascii="Arial" w:eastAsia="Times New Roman" w:hAnsi="Arial" w:cs="Arial"/>
                <w:sz w:val="36"/>
                <w:szCs w:val="36"/>
                <w:lang w:eastAsia="en-GB"/>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2A0DDDF2" w14:textId="77777777" w:rsidR="008644CE" w:rsidRPr="00516320" w:rsidRDefault="008644CE" w:rsidP="004911AE">
            <w:pPr>
              <w:spacing w:before="0" w:after="0" w:line="240" w:lineRule="auto"/>
              <w:rPr>
                <w:rFonts w:ascii="Times New Roman" w:eastAsia="Times New Roman" w:hAnsi="Times New Roman" w:cs="Times New Roman"/>
                <w:sz w:val="20"/>
                <w:szCs w:val="20"/>
                <w:lang w:eastAsia="en-GB"/>
              </w:rPr>
            </w:pPr>
          </w:p>
        </w:tc>
        <w:tc>
          <w:tcPr>
            <w:tcW w:w="567" w:type="dxa"/>
            <w:tcBorders>
              <w:top w:val="single" w:sz="8" w:space="0" w:color="000000"/>
              <w:left w:val="single" w:sz="8" w:space="0" w:color="000000"/>
              <w:bottom w:val="single" w:sz="8" w:space="0" w:color="000000"/>
              <w:right w:val="single" w:sz="8" w:space="0" w:color="000000"/>
            </w:tcBorders>
            <w:shd w:val="clear" w:color="auto" w:fill="FF0000"/>
            <w:tcMar>
              <w:top w:w="15" w:type="dxa"/>
              <w:left w:w="15" w:type="dxa"/>
              <w:bottom w:w="0" w:type="dxa"/>
              <w:right w:w="15" w:type="dxa"/>
            </w:tcMar>
            <w:vAlign w:val="center"/>
          </w:tcPr>
          <w:p w14:paraId="71085691" w14:textId="77777777" w:rsidR="008644CE" w:rsidRPr="00516320" w:rsidRDefault="008644CE" w:rsidP="004911AE">
            <w:pPr>
              <w:spacing w:before="0" w:after="0" w:line="240" w:lineRule="auto"/>
              <w:rPr>
                <w:rFonts w:ascii="Times New Roman" w:eastAsia="Times New Roman" w:hAnsi="Times New Roman" w:cs="Times New Roman"/>
                <w:sz w:val="20"/>
                <w:szCs w:val="20"/>
                <w:lang w:eastAsia="en-GB"/>
              </w:rPr>
            </w:pPr>
          </w:p>
        </w:tc>
        <w:tc>
          <w:tcPr>
            <w:tcW w:w="7229" w:type="dxa"/>
            <w:tcBorders>
              <w:top w:val="single" w:sz="8" w:space="0" w:color="000000"/>
              <w:left w:val="single" w:sz="8" w:space="0" w:color="000000"/>
              <w:bottom w:val="single" w:sz="8" w:space="0" w:color="000000"/>
              <w:right w:val="single" w:sz="8" w:space="0" w:color="000000"/>
            </w:tcBorders>
            <w:shd w:val="clear" w:color="auto" w:fill="F5F4F7"/>
            <w:tcMar>
              <w:top w:w="15" w:type="dxa"/>
              <w:left w:w="15" w:type="dxa"/>
              <w:bottom w:w="0" w:type="dxa"/>
              <w:right w:w="15" w:type="dxa"/>
            </w:tcMar>
            <w:vAlign w:val="center"/>
          </w:tcPr>
          <w:p w14:paraId="2CEFB763" w14:textId="77777777" w:rsidR="008644CE" w:rsidRPr="00BB5A00" w:rsidRDefault="008644CE" w:rsidP="004911AE">
            <w:pPr>
              <w:spacing w:before="0" w:after="0" w:line="240" w:lineRule="auto"/>
              <w:textAlignment w:val="bottom"/>
              <w:rPr>
                <w:rFonts w:ascii="Arial" w:eastAsia="Times New Roman" w:hAnsi="Arial" w:cs="Arial"/>
                <w:sz w:val="36"/>
                <w:szCs w:val="36"/>
                <w:lang w:eastAsia="en-GB"/>
              </w:rPr>
            </w:pPr>
            <w:r w:rsidRPr="00BB5A00">
              <w:rPr>
                <w:rFonts w:ascii="Arial" w:eastAsia="Times New Roman" w:hAnsi="Arial" w:cs="Arial"/>
                <w:color w:val="000000"/>
                <w:kern w:val="24"/>
                <w:sz w:val="20"/>
                <w:szCs w:val="20"/>
                <w:lang w:eastAsia="en-GB"/>
              </w:rPr>
              <w:t>Work is underway as already agreed by SMT, including finalisation of Board Paper.</w:t>
            </w:r>
          </w:p>
          <w:p w14:paraId="035B0E09" w14:textId="77777777" w:rsidR="008644CE" w:rsidRPr="00BB5A00" w:rsidRDefault="008644CE" w:rsidP="004911AE">
            <w:pPr>
              <w:spacing w:before="0" w:after="0" w:line="240" w:lineRule="auto"/>
              <w:textAlignment w:val="bottom"/>
              <w:rPr>
                <w:rFonts w:ascii="Arial" w:eastAsia="Times New Roman" w:hAnsi="Arial" w:cs="Arial"/>
                <w:sz w:val="36"/>
                <w:szCs w:val="36"/>
                <w:lang w:eastAsia="en-GB"/>
              </w:rPr>
            </w:pPr>
            <w:r w:rsidRPr="00BB5A00">
              <w:rPr>
                <w:rFonts w:ascii="Arial" w:eastAsia="Times New Roman" w:hAnsi="Arial" w:cs="Arial"/>
                <w:color w:val="000000"/>
                <w:kern w:val="24"/>
                <w:sz w:val="20"/>
                <w:szCs w:val="20"/>
                <w:lang w:eastAsia="en-GB"/>
              </w:rPr>
              <w:t>There is insufficient capacity within the BAU LOD team to d/w this project and the significant increase in BAU work, some of which directly relates to this process (LOD approvals), other relates to the introduction of s32A HT Act offences.</w:t>
            </w:r>
          </w:p>
          <w:p w14:paraId="67EDE7B8" w14:textId="5736242B" w:rsidR="008644CE" w:rsidRPr="00516320" w:rsidRDefault="008644CE" w:rsidP="004911AE">
            <w:pPr>
              <w:spacing w:before="0" w:after="0" w:line="240" w:lineRule="auto"/>
              <w:textAlignment w:val="center"/>
              <w:rPr>
                <w:rFonts w:eastAsiaTheme="minorEastAsia" w:hAnsi="Arial"/>
                <w:color w:val="000000" w:themeColor="text1"/>
                <w:kern w:val="24"/>
                <w:sz w:val="19"/>
                <w:szCs w:val="19"/>
                <w:lang w:eastAsia="en-GB"/>
              </w:rPr>
            </w:pPr>
            <w:r w:rsidRPr="00BB5A00">
              <w:rPr>
                <w:rFonts w:ascii="Arial" w:eastAsia="Times New Roman" w:hAnsi="Arial" w:cs="Arial"/>
                <w:b/>
                <w:bCs/>
                <w:color w:val="000000"/>
                <w:kern w:val="24"/>
                <w:sz w:val="20"/>
                <w:szCs w:val="20"/>
                <w:lang w:eastAsia="en-GB"/>
              </w:rPr>
              <w:t>Approval for an additional 1 x FTE to increase capacity.</w:t>
            </w:r>
          </w:p>
        </w:tc>
      </w:tr>
      <w:tr w:rsidR="008644CE" w:rsidRPr="00516320" w14:paraId="1A6D28D5" w14:textId="77777777" w:rsidTr="008644CE">
        <w:trPr>
          <w:trHeight w:val="867"/>
        </w:trPr>
        <w:tc>
          <w:tcPr>
            <w:tcW w:w="0" w:type="auto"/>
            <w:vMerge/>
            <w:tcBorders>
              <w:left w:val="single" w:sz="8" w:space="0" w:color="000000"/>
              <w:right w:val="single" w:sz="8" w:space="0" w:color="000000"/>
            </w:tcBorders>
            <w:shd w:val="clear" w:color="auto" w:fill="002060"/>
            <w:vAlign w:val="center"/>
          </w:tcPr>
          <w:p w14:paraId="0AABE1CE" w14:textId="77777777" w:rsidR="008644CE" w:rsidRPr="00516320" w:rsidRDefault="008644CE" w:rsidP="004911AE">
            <w:pPr>
              <w:spacing w:before="0" w:after="0" w:line="240" w:lineRule="auto"/>
              <w:rPr>
                <w:rFonts w:ascii="Arial" w:eastAsia="Times New Roman" w:hAnsi="Arial" w:cs="Arial"/>
                <w:sz w:val="36"/>
                <w:szCs w:val="36"/>
                <w:lang w:eastAsia="en-GB"/>
              </w:rPr>
            </w:pPr>
          </w:p>
        </w:tc>
        <w:tc>
          <w:tcPr>
            <w:tcW w:w="2331" w:type="dxa"/>
            <w:tcBorders>
              <w:top w:val="single" w:sz="8" w:space="0" w:color="000000"/>
              <w:left w:val="single" w:sz="8" w:space="0" w:color="000000"/>
              <w:bottom w:val="single" w:sz="8" w:space="0" w:color="000000"/>
              <w:right w:val="single" w:sz="8" w:space="0" w:color="000000"/>
            </w:tcBorders>
            <w:shd w:val="clear" w:color="auto" w:fill="DDEBF7"/>
            <w:tcMar>
              <w:top w:w="15" w:type="dxa"/>
              <w:left w:w="15" w:type="dxa"/>
              <w:bottom w:w="0" w:type="dxa"/>
              <w:right w:w="15" w:type="dxa"/>
            </w:tcMar>
            <w:vAlign w:val="center"/>
          </w:tcPr>
          <w:p w14:paraId="7F0244E5" w14:textId="5316689A" w:rsidR="008644CE" w:rsidRPr="00516320" w:rsidRDefault="008644CE" w:rsidP="004911AE">
            <w:pPr>
              <w:spacing w:before="0" w:after="0" w:line="240" w:lineRule="auto"/>
              <w:rPr>
                <w:rFonts w:asciiTheme="majorHAnsi" w:eastAsiaTheme="minorEastAsia" w:hAnsi="Arial"/>
                <w:color w:val="000000" w:themeColor="text1"/>
                <w:kern w:val="24"/>
                <w:sz w:val="19"/>
                <w:szCs w:val="19"/>
                <w:lang w:eastAsia="en-GB"/>
              </w:rPr>
            </w:pPr>
            <w:r w:rsidRPr="00BB5A00">
              <w:rPr>
                <w:rFonts w:asciiTheme="majorHAnsi" w:eastAsiaTheme="minorEastAsia" w:hAnsi="Arial"/>
                <w:color w:val="000000" w:themeColor="text1"/>
                <w:kern w:val="24"/>
                <w:sz w:val="19"/>
                <w:szCs w:val="19"/>
                <w:lang w:eastAsia="en-GB"/>
              </w:rPr>
              <w:t>Retained EU Law Bill</w:t>
            </w:r>
          </w:p>
        </w:tc>
        <w:tc>
          <w:tcPr>
            <w:tcW w:w="2080" w:type="dxa"/>
            <w:tcBorders>
              <w:top w:val="single" w:sz="8" w:space="0" w:color="000000"/>
              <w:left w:val="single" w:sz="8" w:space="0" w:color="000000"/>
              <w:bottom w:val="single" w:sz="8" w:space="0" w:color="000000"/>
              <w:right w:val="single" w:sz="8" w:space="0" w:color="000000"/>
            </w:tcBorders>
            <w:shd w:val="clear" w:color="auto" w:fill="DDEBF7"/>
            <w:tcMar>
              <w:top w:w="15" w:type="dxa"/>
              <w:left w:w="15" w:type="dxa"/>
              <w:bottom w:w="0" w:type="dxa"/>
              <w:right w:w="15" w:type="dxa"/>
            </w:tcMar>
            <w:vAlign w:val="center"/>
          </w:tcPr>
          <w:p w14:paraId="1519F3B7" w14:textId="1DB7B3C4" w:rsidR="008644CE" w:rsidRPr="00516320" w:rsidRDefault="008644CE" w:rsidP="004911AE">
            <w:pPr>
              <w:spacing w:before="0" w:after="0" w:line="240" w:lineRule="auto"/>
              <w:textAlignment w:val="center"/>
              <w:rPr>
                <w:rFonts w:eastAsiaTheme="minorEastAsia" w:hAnsi="Arial"/>
                <w:color w:val="000000" w:themeColor="text1"/>
                <w:kern w:val="24"/>
                <w:sz w:val="19"/>
                <w:szCs w:val="19"/>
                <w:lang w:eastAsia="en-GB"/>
              </w:rPr>
            </w:pPr>
            <w:r w:rsidRPr="00BB5A00">
              <w:rPr>
                <w:rFonts w:asciiTheme="majorHAnsi" w:eastAsiaTheme="minorEastAsia" w:hAnsi="Arial"/>
                <w:color w:val="000000" w:themeColor="text1"/>
                <w:kern w:val="24"/>
                <w:sz w:val="19"/>
                <w:szCs w:val="19"/>
                <w:lang w:eastAsia="en-GB"/>
              </w:rPr>
              <w:t>Louise Dineley</w:t>
            </w:r>
          </w:p>
        </w:tc>
        <w:tc>
          <w:tcPr>
            <w:tcW w:w="51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1FA763F6" w14:textId="77777777" w:rsidR="008644CE" w:rsidRPr="00516320" w:rsidRDefault="008644CE" w:rsidP="004911AE">
            <w:pPr>
              <w:spacing w:before="0" w:after="0" w:line="240" w:lineRule="auto"/>
              <w:rPr>
                <w:rFonts w:ascii="Arial" w:eastAsia="Times New Roman" w:hAnsi="Arial" w:cs="Arial"/>
                <w:sz w:val="36"/>
                <w:szCs w:val="36"/>
                <w:lang w:eastAsia="en-GB"/>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73B29BD9" w14:textId="77777777" w:rsidR="008644CE" w:rsidRPr="00516320" w:rsidRDefault="008644CE" w:rsidP="004911AE">
            <w:pPr>
              <w:spacing w:before="0" w:after="0" w:line="240" w:lineRule="auto"/>
              <w:rPr>
                <w:rFonts w:ascii="Times New Roman" w:eastAsia="Times New Roman" w:hAnsi="Times New Roman" w:cs="Times New Roman"/>
                <w:sz w:val="20"/>
                <w:szCs w:val="20"/>
                <w:lang w:eastAsia="en-GB"/>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2611B89D" w14:textId="77777777" w:rsidR="008644CE" w:rsidRPr="00516320" w:rsidRDefault="008644CE" w:rsidP="004911AE">
            <w:pPr>
              <w:spacing w:before="0" w:after="0" w:line="240" w:lineRule="auto"/>
              <w:rPr>
                <w:rFonts w:ascii="Times New Roman" w:eastAsia="Times New Roman" w:hAnsi="Times New Roman" w:cs="Times New Roman"/>
                <w:sz w:val="20"/>
                <w:szCs w:val="20"/>
                <w:lang w:eastAsia="en-GB"/>
              </w:rPr>
            </w:pPr>
          </w:p>
        </w:tc>
        <w:tc>
          <w:tcPr>
            <w:tcW w:w="7229" w:type="dxa"/>
            <w:tcBorders>
              <w:top w:val="single" w:sz="8" w:space="0" w:color="000000"/>
              <w:left w:val="single" w:sz="8" w:space="0" w:color="000000"/>
              <w:bottom w:val="single" w:sz="8" w:space="0" w:color="000000"/>
              <w:right w:val="single" w:sz="8" w:space="0" w:color="000000"/>
            </w:tcBorders>
            <w:shd w:val="clear" w:color="auto" w:fill="F5F4F7"/>
            <w:tcMar>
              <w:top w:w="15" w:type="dxa"/>
              <w:left w:w="15" w:type="dxa"/>
              <w:bottom w:w="0" w:type="dxa"/>
              <w:right w:w="15" w:type="dxa"/>
            </w:tcMar>
            <w:vAlign w:val="center"/>
          </w:tcPr>
          <w:p w14:paraId="10E41E5A" w14:textId="2B78152F" w:rsidR="008644CE" w:rsidRPr="00516320" w:rsidRDefault="008644CE" w:rsidP="004911AE">
            <w:pPr>
              <w:spacing w:before="0" w:after="0" w:line="240" w:lineRule="auto"/>
              <w:textAlignment w:val="center"/>
              <w:rPr>
                <w:rFonts w:eastAsiaTheme="minorEastAsia" w:hAnsi="Arial"/>
                <w:color w:val="000000" w:themeColor="text1"/>
                <w:kern w:val="24"/>
                <w:sz w:val="19"/>
                <w:szCs w:val="19"/>
                <w:lang w:eastAsia="en-GB"/>
              </w:rPr>
            </w:pPr>
            <w:r w:rsidRPr="00BB5A00">
              <w:rPr>
                <w:rFonts w:eastAsiaTheme="minorEastAsia" w:hAnsi="Arial" w:cs="Arial"/>
                <w:color w:val="000000"/>
                <w:kern w:val="24"/>
                <w:sz w:val="19"/>
                <w:szCs w:val="19"/>
                <w:lang w:eastAsia="en-GB"/>
              </w:rPr>
              <w:t>Project not yet started – anticipated start date July 23'</w:t>
            </w:r>
          </w:p>
        </w:tc>
      </w:tr>
      <w:tr w:rsidR="008644CE" w:rsidRPr="00516320" w14:paraId="18525A68" w14:textId="77777777" w:rsidTr="008644CE">
        <w:trPr>
          <w:trHeight w:val="867"/>
        </w:trPr>
        <w:tc>
          <w:tcPr>
            <w:tcW w:w="0" w:type="auto"/>
            <w:vMerge/>
            <w:tcBorders>
              <w:left w:val="single" w:sz="8" w:space="0" w:color="000000"/>
              <w:right w:val="single" w:sz="8" w:space="0" w:color="000000"/>
            </w:tcBorders>
            <w:shd w:val="clear" w:color="auto" w:fill="002060"/>
            <w:vAlign w:val="center"/>
          </w:tcPr>
          <w:p w14:paraId="530259C1" w14:textId="77777777" w:rsidR="008644CE" w:rsidRPr="00516320" w:rsidRDefault="008644CE" w:rsidP="004911AE">
            <w:pPr>
              <w:spacing w:before="0" w:after="0" w:line="240" w:lineRule="auto"/>
              <w:rPr>
                <w:rFonts w:ascii="Arial" w:eastAsia="Times New Roman" w:hAnsi="Arial" w:cs="Arial"/>
                <w:sz w:val="36"/>
                <w:szCs w:val="36"/>
                <w:lang w:eastAsia="en-GB"/>
              </w:rPr>
            </w:pPr>
          </w:p>
        </w:tc>
        <w:tc>
          <w:tcPr>
            <w:tcW w:w="2331" w:type="dxa"/>
            <w:tcBorders>
              <w:top w:val="single" w:sz="8" w:space="0" w:color="000000"/>
              <w:left w:val="single" w:sz="8" w:space="0" w:color="000000"/>
              <w:bottom w:val="single" w:sz="8" w:space="0" w:color="000000"/>
              <w:right w:val="single" w:sz="8" w:space="0" w:color="000000"/>
            </w:tcBorders>
            <w:shd w:val="clear" w:color="auto" w:fill="DDEBF7"/>
            <w:tcMar>
              <w:top w:w="15" w:type="dxa"/>
              <w:left w:w="15" w:type="dxa"/>
              <w:bottom w:w="0" w:type="dxa"/>
              <w:right w:w="15" w:type="dxa"/>
            </w:tcMar>
            <w:vAlign w:val="center"/>
          </w:tcPr>
          <w:p w14:paraId="1C3A2A8A" w14:textId="38D181A5" w:rsidR="008644CE" w:rsidRPr="00516320" w:rsidRDefault="008644CE" w:rsidP="004911AE">
            <w:pPr>
              <w:spacing w:before="0" w:after="0" w:line="240" w:lineRule="auto"/>
              <w:rPr>
                <w:rFonts w:asciiTheme="majorHAnsi" w:eastAsiaTheme="minorEastAsia" w:hAnsi="Arial"/>
                <w:color w:val="000000" w:themeColor="text1"/>
                <w:kern w:val="24"/>
                <w:sz w:val="19"/>
                <w:szCs w:val="19"/>
                <w:lang w:eastAsia="en-GB"/>
              </w:rPr>
            </w:pPr>
            <w:r w:rsidRPr="00BB5A00">
              <w:rPr>
                <w:rFonts w:asciiTheme="majorHAnsi" w:eastAsiaTheme="minorEastAsia" w:hAnsi="Arial"/>
                <w:color w:val="000000" w:themeColor="text1"/>
                <w:kern w:val="24"/>
                <w:sz w:val="19"/>
                <w:szCs w:val="19"/>
                <w:lang w:eastAsia="en-GB"/>
              </w:rPr>
              <w:t>Windsor Framework</w:t>
            </w:r>
          </w:p>
        </w:tc>
        <w:tc>
          <w:tcPr>
            <w:tcW w:w="2080" w:type="dxa"/>
            <w:tcBorders>
              <w:top w:val="single" w:sz="8" w:space="0" w:color="000000"/>
              <w:left w:val="single" w:sz="8" w:space="0" w:color="000000"/>
              <w:bottom w:val="single" w:sz="8" w:space="0" w:color="000000"/>
              <w:right w:val="single" w:sz="8" w:space="0" w:color="000000"/>
            </w:tcBorders>
            <w:shd w:val="clear" w:color="auto" w:fill="DDEBF7"/>
            <w:tcMar>
              <w:top w:w="15" w:type="dxa"/>
              <w:left w:w="15" w:type="dxa"/>
              <w:bottom w:w="0" w:type="dxa"/>
              <w:right w:w="15" w:type="dxa"/>
            </w:tcMar>
            <w:vAlign w:val="center"/>
          </w:tcPr>
          <w:p w14:paraId="7E7EB969" w14:textId="58675B0D" w:rsidR="008644CE" w:rsidRPr="00516320" w:rsidRDefault="008644CE" w:rsidP="004911AE">
            <w:pPr>
              <w:spacing w:before="0" w:after="0" w:line="240" w:lineRule="auto"/>
              <w:textAlignment w:val="center"/>
              <w:rPr>
                <w:rFonts w:eastAsiaTheme="minorEastAsia" w:hAnsi="Arial"/>
                <w:color w:val="000000" w:themeColor="text1"/>
                <w:kern w:val="24"/>
                <w:sz w:val="19"/>
                <w:szCs w:val="19"/>
                <w:lang w:eastAsia="en-GB"/>
              </w:rPr>
            </w:pPr>
            <w:r w:rsidRPr="00BB5A00">
              <w:rPr>
                <w:rFonts w:asciiTheme="majorHAnsi" w:eastAsiaTheme="minorEastAsia" w:hAnsi="Arial"/>
                <w:color w:val="000000" w:themeColor="text1"/>
                <w:kern w:val="24"/>
                <w:sz w:val="19"/>
                <w:szCs w:val="19"/>
                <w:lang w:eastAsia="en-GB"/>
              </w:rPr>
              <w:t>Louise Dineley</w:t>
            </w:r>
          </w:p>
        </w:tc>
        <w:tc>
          <w:tcPr>
            <w:tcW w:w="51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5E9BE3B5" w14:textId="77777777" w:rsidR="008644CE" w:rsidRPr="00516320" w:rsidRDefault="008644CE" w:rsidP="004911AE">
            <w:pPr>
              <w:spacing w:before="0" w:after="0" w:line="240" w:lineRule="auto"/>
              <w:rPr>
                <w:rFonts w:ascii="Arial" w:eastAsia="Times New Roman" w:hAnsi="Arial" w:cs="Arial"/>
                <w:sz w:val="36"/>
                <w:szCs w:val="36"/>
                <w:lang w:eastAsia="en-GB"/>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1D7B8C9E" w14:textId="77777777" w:rsidR="008644CE" w:rsidRPr="00516320" w:rsidRDefault="008644CE" w:rsidP="004911AE">
            <w:pPr>
              <w:spacing w:before="0" w:after="0" w:line="240" w:lineRule="auto"/>
              <w:rPr>
                <w:rFonts w:ascii="Times New Roman" w:eastAsia="Times New Roman" w:hAnsi="Times New Roman" w:cs="Times New Roman"/>
                <w:sz w:val="20"/>
                <w:szCs w:val="20"/>
                <w:lang w:eastAsia="en-GB"/>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27CE5886" w14:textId="77777777" w:rsidR="008644CE" w:rsidRPr="00516320" w:rsidRDefault="008644CE" w:rsidP="004911AE">
            <w:pPr>
              <w:spacing w:before="0" w:after="0" w:line="240" w:lineRule="auto"/>
              <w:rPr>
                <w:rFonts w:ascii="Times New Roman" w:eastAsia="Times New Roman" w:hAnsi="Times New Roman" w:cs="Times New Roman"/>
                <w:sz w:val="20"/>
                <w:szCs w:val="20"/>
                <w:lang w:eastAsia="en-GB"/>
              </w:rPr>
            </w:pPr>
          </w:p>
        </w:tc>
        <w:tc>
          <w:tcPr>
            <w:tcW w:w="7229" w:type="dxa"/>
            <w:tcBorders>
              <w:top w:val="single" w:sz="8" w:space="0" w:color="000000"/>
              <w:left w:val="single" w:sz="8" w:space="0" w:color="000000"/>
              <w:bottom w:val="single" w:sz="8" w:space="0" w:color="000000"/>
              <w:right w:val="single" w:sz="8" w:space="0" w:color="000000"/>
            </w:tcBorders>
            <w:shd w:val="clear" w:color="auto" w:fill="F5F4F7"/>
            <w:tcMar>
              <w:top w:w="15" w:type="dxa"/>
              <w:left w:w="15" w:type="dxa"/>
              <w:bottom w:w="0" w:type="dxa"/>
              <w:right w:w="15" w:type="dxa"/>
            </w:tcMar>
            <w:vAlign w:val="center"/>
          </w:tcPr>
          <w:p w14:paraId="3226DF54" w14:textId="101CDFD6" w:rsidR="008644CE" w:rsidRPr="00516320" w:rsidRDefault="008644CE" w:rsidP="004911AE">
            <w:pPr>
              <w:spacing w:before="0" w:after="0" w:line="240" w:lineRule="auto"/>
              <w:textAlignment w:val="center"/>
              <w:rPr>
                <w:rFonts w:eastAsiaTheme="minorEastAsia" w:hAnsi="Arial"/>
                <w:color w:val="000000" w:themeColor="text1"/>
                <w:kern w:val="24"/>
                <w:sz w:val="19"/>
                <w:szCs w:val="19"/>
                <w:lang w:eastAsia="en-GB"/>
              </w:rPr>
            </w:pPr>
            <w:r w:rsidRPr="00BB5A00">
              <w:rPr>
                <w:rFonts w:eastAsiaTheme="minorEastAsia" w:hAnsi="Arial" w:cs="Arial"/>
                <w:color w:val="000000"/>
                <w:kern w:val="24"/>
                <w:sz w:val="19"/>
                <w:szCs w:val="19"/>
                <w:lang w:eastAsia="en-GB"/>
              </w:rPr>
              <w:t>Project not yet started – anticipated start date July 23'</w:t>
            </w:r>
          </w:p>
        </w:tc>
      </w:tr>
      <w:tr w:rsidR="008644CE" w:rsidRPr="00516320" w14:paraId="569982C5" w14:textId="77777777" w:rsidTr="008644CE">
        <w:trPr>
          <w:trHeight w:val="867"/>
        </w:trPr>
        <w:tc>
          <w:tcPr>
            <w:tcW w:w="0" w:type="auto"/>
            <w:vMerge/>
            <w:tcBorders>
              <w:left w:val="single" w:sz="8" w:space="0" w:color="000000"/>
              <w:right w:val="single" w:sz="8" w:space="0" w:color="000000"/>
            </w:tcBorders>
            <w:shd w:val="clear" w:color="auto" w:fill="002060"/>
            <w:vAlign w:val="center"/>
          </w:tcPr>
          <w:p w14:paraId="3A062DFA" w14:textId="77777777" w:rsidR="008644CE" w:rsidRPr="00516320" w:rsidRDefault="008644CE" w:rsidP="0018563B">
            <w:pPr>
              <w:spacing w:before="0" w:after="0" w:line="240" w:lineRule="auto"/>
              <w:rPr>
                <w:rFonts w:ascii="Arial" w:eastAsia="Times New Roman" w:hAnsi="Arial" w:cs="Arial"/>
                <w:sz w:val="36"/>
                <w:szCs w:val="36"/>
                <w:lang w:eastAsia="en-GB"/>
              </w:rPr>
            </w:pPr>
          </w:p>
        </w:tc>
        <w:tc>
          <w:tcPr>
            <w:tcW w:w="2331" w:type="dxa"/>
            <w:tcBorders>
              <w:top w:val="single" w:sz="8" w:space="0" w:color="000000"/>
              <w:left w:val="single" w:sz="8" w:space="0" w:color="000000"/>
              <w:bottom w:val="single" w:sz="8" w:space="0" w:color="000000"/>
              <w:right w:val="single" w:sz="8" w:space="0" w:color="000000"/>
            </w:tcBorders>
            <w:shd w:val="clear" w:color="auto" w:fill="DDEBF7"/>
            <w:tcMar>
              <w:top w:w="15" w:type="dxa"/>
              <w:left w:w="15" w:type="dxa"/>
              <w:bottom w:w="0" w:type="dxa"/>
              <w:right w:w="15" w:type="dxa"/>
            </w:tcMar>
            <w:vAlign w:val="center"/>
          </w:tcPr>
          <w:p w14:paraId="1A1EB5CD" w14:textId="688B7EA8" w:rsidR="008644CE" w:rsidRPr="00516320" w:rsidRDefault="008644CE" w:rsidP="0018563B">
            <w:pPr>
              <w:spacing w:before="0" w:after="0" w:line="240" w:lineRule="auto"/>
              <w:rPr>
                <w:rFonts w:asciiTheme="majorHAnsi" w:eastAsiaTheme="minorEastAsia" w:hAnsi="Arial"/>
                <w:color w:val="000000" w:themeColor="text1"/>
                <w:kern w:val="24"/>
                <w:sz w:val="19"/>
                <w:szCs w:val="19"/>
                <w:lang w:eastAsia="en-GB"/>
              </w:rPr>
            </w:pPr>
            <w:r w:rsidRPr="00BB5A00">
              <w:rPr>
                <w:rFonts w:asciiTheme="majorHAnsi" w:eastAsiaTheme="minorEastAsia" w:hAnsi="Arial"/>
                <w:color w:val="000000" w:themeColor="text1"/>
                <w:kern w:val="24"/>
                <w:sz w:val="19"/>
                <w:szCs w:val="19"/>
                <w:lang w:eastAsia="en-GB"/>
              </w:rPr>
              <w:t>IT strategy requirements</w:t>
            </w:r>
          </w:p>
        </w:tc>
        <w:tc>
          <w:tcPr>
            <w:tcW w:w="2080" w:type="dxa"/>
            <w:tcBorders>
              <w:top w:val="single" w:sz="8" w:space="0" w:color="000000"/>
              <w:left w:val="single" w:sz="8" w:space="0" w:color="000000"/>
              <w:bottom w:val="single" w:sz="8" w:space="0" w:color="000000"/>
              <w:right w:val="single" w:sz="8" w:space="0" w:color="000000"/>
            </w:tcBorders>
            <w:shd w:val="clear" w:color="auto" w:fill="DDEBF7"/>
            <w:tcMar>
              <w:top w:w="15" w:type="dxa"/>
              <w:left w:w="15" w:type="dxa"/>
              <w:bottom w:w="0" w:type="dxa"/>
              <w:right w:w="15" w:type="dxa"/>
            </w:tcMar>
            <w:vAlign w:val="center"/>
          </w:tcPr>
          <w:p w14:paraId="2731351E" w14:textId="4A86D483" w:rsidR="008644CE" w:rsidRPr="00516320" w:rsidRDefault="008644CE" w:rsidP="0018563B">
            <w:pPr>
              <w:spacing w:before="0" w:after="0" w:line="240" w:lineRule="auto"/>
              <w:textAlignment w:val="center"/>
              <w:rPr>
                <w:rFonts w:eastAsiaTheme="minorEastAsia" w:hAnsi="Arial"/>
                <w:color w:val="000000" w:themeColor="text1"/>
                <w:kern w:val="24"/>
                <w:sz w:val="19"/>
                <w:szCs w:val="19"/>
                <w:lang w:eastAsia="en-GB"/>
              </w:rPr>
            </w:pPr>
            <w:r w:rsidRPr="00BB5A00">
              <w:rPr>
                <w:rFonts w:asciiTheme="majorHAnsi" w:eastAsiaTheme="minorEastAsia" w:hAnsi="Arial"/>
                <w:color w:val="000000" w:themeColor="text1"/>
                <w:kern w:val="24"/>
                <w:sz w:val="19"/>
                <w:szCs w:val="19"/>
                <w:lang w:eastAsia="en-GB"/>
              </w:rPr>
              <w:t>Louise Dineley</w:t>
            </w:r>
          </w:p>
        </w:tc>
        <w:tc>
          <w:tcPr>
            <w:tcW w:w="51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25CF89DB" w14:textId="77777777" w:rsidR="008644CE" w:rsidRPr="00516320" w:rsidRDefault="008644CE" w:rsidP="0018563B">
            <w:pPr>
              <w:spacing w:before="0" w:after="0" w:line="240" w:lineRule="auto"/>
              <w:rPr>
                <w:rFonts w:ascii="Arial" w:eastAsia="Times New Roman" w:hAnsi="Arial" w:cs="Arial"/>
                <w:sz w:val="36"/>
                <w:szCs w:val="36"/>
                <w:lang w:eastAsia="en-GB"/>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25E854C0" w14:textId="77777777" w:rsidR="008644CE" w:rsidRPr="00516320" w:rsidRDefault="008644CE" w:rsidP="0018563B">
            <w:pPr>
              <w:spacing w:before="0" w:after="0" w:line="240" w:lineRule="auto"/>
              <w:rPr>
                <w:rFonts w:ascii="Times New Roman" w:eastAsia="Times New Roman" w:hAnsi="Times New Roman" w:cs="Times New Roman"/>
                <w:sz w:val="20"/>
                <w:szCs w:val="20"/>
                <w:lang w:eastAsia="en-GB"/>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5D081A72" w14:textId="77777777" w:rsidR="008644CE" w:rsidRPr="00516320" w:rsidRDefault="008644CE" w:rsidP="0018563B">
            <w:pPr>
              <w:spacing w:before="0" w:after="0" w:line="240" w:lineRule="auto"/>
              <w:rPr>
                <w:rFonts w:ascii="Times New Roman" w:eastAsia="Times New Roman" w:hAnsi="Times New Roman" w:cs="Times New Roman"/>
                <w:sz w:val="20"/>
                <w:szCs w:val="20"/>
                <w:lang w:eastAsia="en-GB"/>
              </w:rPr>
            </w:pPr>
          </w:p>
        </w:tc>
        <w:tc>
          <w:tcPr>
            <w:tcW w:w="7229" w:type="dxa"/>
            <w:tcBorders>
              <w:top w:val="single" w:sz="8" w:space="0" w:color="000000"/>
              <w:left w:val="single" w:sz="8" w:space="0" w:color="000000"/>
              <w:bottom w:val="single" w:sz="8" w:space="0" w:color="000000"/>
              <w:right w:val="single" w:sz="8" w:space="0" w:color="000000"/>
            </w:tcBorders>
            <w:shd w:val="clear" w:color="auto" w:fill="F5F4F7"/>
            <w:tcMar>
              <w:top w:w="15" w:type="dxa"/>
              <w:left w:w="15" w:type="dxa"/>
              <w:bottom w:w="0" w:type="dxa"/>
              <w:right w:w="15" w:type="dxa"/>
            </w:tcMar>
            <w:vAlign w:val="center"/>
          </w:tcPr>
          <w:p w14:paraId="1AEB794F" w14:textId="31938B7E" w:rsidR="008644CE" w:rsidRPr="00516320" w:rsidRDefault="008644CE" w:rsidP="0018563B">
            <w:pPr>
              <w:spacing w:before="0" w:after="0" w:line="240" w:lineRule="auto"/>
              <w:textAlignment w:val="center"/>
              <w:rPr>
                <w:rFonts w:eastAsiaTheme="minorEastAsia" w:hAnsi="Arial"/>
                <w:color w:val="000000" w:themeColor="text1"/>
                <w:kern w:val="24"/>
                <w:sz w:val="19"/>
                <w:szCs w:val="19"/>
                <w:lang w:eastAsia="en-GB"/>
              </w:rPr>
            </w:pPr>
            <w:r w:rsidRPr="00BB5A00">
              <w:rPr>
                <w:rFonts w:eastAsiaTheme="minorEastAsia" w:hAnsi="Arial" w:cs="Arial"/>
                <w:color w:val="000000"/>
                <w:kern w:val="24"/>
                <w:sz w:val="19"/>
                <w:szCs w:val="19"/>
                <w:lang w:eastAsia="en-GB"/>
              </w:rPr>
              <w:t>Project not yet started – anticipated start date January 24'</w:t>
            </w:r>
          </w:p>
        </w:tc>
      </w:tr>
      <w:tr w:rsidR="008644CE" w:rsidRPr="00516320" w14:paraId="0ADF81C6" w14:textId="77777777" w:rsidTr="008644CE">
        <w:trPr>
          <w:trHeight w:val="867"/>
        </w:trPr>
        <w:tc>
          <w:tcPr>
            <w:tcW w:w="0" w:type="auto"/>
            <w:vMerge/>
            <w:tcBorders>
              <w:left w:val="single" w:sz="8" w:space="0" w:color="000000"/>
              <w:right w:val="single" w:sz="8" w:space="0" w:color="000000"/>
            </w:tcBorders>
            <w:shd w:val="clear" w:color="auto" w:fill="002060"/>
            <w:vAlign w:val="center"/>
          </w:tcPr>
          <w:p w14:paraId="1D823E3D" w14:textId="77777777" w:rsidR="008644CE" w:rsidRPr="00516320" w:rsidRDefault="008644CE" w:rsidP="0018563B">
            <w:pPr>
              <w:spacing w:before="0" w:after="0" w:line="240" w:lineRule="auto"/>
              <w:rPr>
                <w:rFonts w:ascii="Arial" w:eastAsia="Times New Roman" w:hAnsi="Arial" w:cs="Arial"/>
                <w:sz w:val="36"/>
                <w:szCs w:val="36"/>
                <w:lang w:eastAsia="en-GB"/>
              </w:rPr>
            </w:pPr>
          </w:p>
        </w:tc>
        <w:tc>
          <w:tcPr>
            <w:tcW w:w="2331" w:type="dxa"/>
            <w:tcBorders>
              <w:top w:val="single" w:sz="8" w:space="0" w:color="000000"/>
              <w:left w:val="single" w:sz="8" w:space="0" w:color="000000"/>
              <w:bottom w:val="single" w:sz="8" w:space="0" w:color="000000"/>
              <w:right w:val="single" w:sz="8" w:space="0" w:color="000000"/>
            </w:tcBorders>
            <w:shd w:val="clear" w:color="auto" w:fill="DDEBF7"/>
            <w:tcMar>
              <w:top w:w="15" w:type="dxa"/>
              <w:left w:w="15" w:type="dxa"/>
              <w:bottom w:w="0" w:type="dxa"/>
              <w:right w:w="15" w:type="dxa"/>
            </w:tcMar>
            <w:vAlign w:val="center"/>
          </w:tcPr>
          <w:p w14:paraId="289A6F65" w14:textId="045B3BD1" w:rsidR="008644CE" w:rsidRPr="00516320" w:rsidRDefault="008644CE" w:rsidP="0018563B">
            <w:pPr>
              <w:spacing w:before="0" w:after="0" w:line="240" w:lineRule="auto"/>
              <w:rPr>
                <w:rFonts w:asciiTheme="majorHAnsi" w:eastAsiaTheme="minorEastAsia" w:hAnsi="Arial"/>
                <w:color w:val="000000" w:themeColor="text1"/>
                <w:kern w:val="24"/>
                <w:sz w:val="19"/>
                <w:szCs w:val="19"/>
                <w:lang w:eastAsia="en-GB"/>
              </w:rPr>
            </w:pPr>
            <w:r w:rsidRPr="00BB5A00">
              <w:rPr>
                <w:rFonts w:asciiTheme="majorHAnsi" w:eastAsiaTheme="minorEastAsia" w:hAnsi="Arial"/>
                <w:color w:val="000000" w:themeColor="text1"/>
                <w:kern w:val="24"/>
                <w:sz w:val="19"/>
                <w:szCs w:val="19"/>
                <w:lang w:eastAsia="en-GB"/>
              </w:rPr>
              <w:t>Records management review</w:t>
            </w:r>
          </w:p>
        </w:tc>
        <w:tc>
          <w:tcPr>
            <w:tcW w:w="2080" w:type="dxa"/>
            <w:tcBorders>
              <w:top w:val="single" w:sz="8" w:space="0" w:color="000000"/>
              <w:left w:val="single" w:sz="8" w:space="0" w:color="000000"/>
              <w:bottom w:val="single" w:sz="8" w:space="0" w:color="000000"/>
              <w:right w:val="single" w:sz="8" w:space="0" w:color="000000"/>
            </w:tcBorders>
            <w:shd w:val="clear" w:color="auto" w:fill="DDEBF7"/>
            <w:tcMar>
              <w:top w:w="15" w:type="dxa"/>
              <w:left w:w="15" w:type="dxa"/>
              <w:bottom w:w="0" w:type="dxa"/>
              <w:right w:w="15" w:type="dxa"/>
            </w:tcMar>
            <w:vAlign w:val="center"/>
          </w:tcPr>
          <w:p w14:paraId="47B0493C" w14:textId="3B1268A3" w:rsidR="008644CE" w:rsidRPr="00516320" w:rsidRDefault="008644CE" w:rsidP="0018563B">
            <w:pPr>
              <w:spacing w:before="0" w:after="0" w:line="240" w:lineRule="auto"/>
              <w:textAlignment w:val="center"/>
              <w:rPr>
                <w:rFonts w:eastAsiaTheme="minorEastAsia" w:hAnsi="Arial"/>
                <w:color w:val="000000" w:themeColor="text1"/>
                <w:kern w:val="24"/>
                <w:sz w:val="19"/>
                <w:szCs w:val="19"/>
                <w:lang w:eastAsia="en-GB"/>
              </w:rPr>
            </w:pPr>
            <w:r w:rsidRPr="00BB5A00">
              <w:rPr>
                <w:rFonts w:asciiTheme="majorHAnsi" w:eastAsia="Times New Roman" w:hAnsi="Arial" w:cs="Arial"/>
                <w:color w:val="000000"/>
                <w:kern w:val="24"/>
                <w:sz w:val="19"/>
                <w:szCs w:val="19"/>
                <w:lang w:eastAsia="en-GB"/>
              </w:rPr>
              <w:t>Louise Dineley</w:t>
            </w:r>
          </w:p>
        </w:tc>
        <w:tc>
          <w:tcPr>
            <w:tcW w:w="51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50F670F1" w14:textId="77777777" w:rsidR="008644CE" w:rsidRPr="00516320" w:rsidRDefault="008644CE" w:rsidP="0018563B">
            <w:pPr>
              <w:spacing w:before="0" w:after="0" w:line="240" w:lineRule="auto"/>
              <w:rPr>
                <w:rFonts w:ascii="Arial" w:eastAsia="Times New Roman" w:hAnsi="Arial" w:cs="Arial"/>
                <w:sz w:val="36"/>
                <w:szCs w:val="36"/>
                <w:lang w:eastAsia="en-GB"/>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1957A7D8" w14:textId="77777777" w:rsidR="008644CE" w:rsidRPr="00516320" w:rsidRDefault="008644CE" w:rsidP="0018563B">
            <w:pPr>
              <w:spacing w:before="0" w:after="0" w:line="240" w:lineRule="auto"/>
              <w:rPr>
                <w:rFonts w:ascii="Times New Roman" w:eastAsia="Times New Roman" w:hAnsi="Times New Roman" w:cs="Times New Roman"/>
                <w:sz w:val="20"/>
                <w:szCs w:val="20"/>
                <w:lang w:eastAsia="en-GB"/>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52CEB839" w14:textId="77777777" w:rsidR="008644CE" w:rsidRPr="00516320" w:rsidRDefault="008644CE" w:rsidP="0018563B">
            <w:pPr>
              <w:spacing w:before="0" w:after="0" w:line="240" w:lineRule="auto"/>
              <w:rPr>
                <w:rFonts w:ascii="Times New Roman" w:eastAsia="Times New Roman" w:hAnsi="Times New Roman" w:cs="Times New Roman"/>
                <w:sz w:val="20"/>
                <w:szCs w:val="20"/>
                <w:lang w:eastAsia="en-GB"/>
              </w:rPr>
            </w:pPr>
          </w:p>
        </w:tc>
        <w:tc>
          <w:tcPr>
            <w:tcW w:w="7229" w:type="dxa"/>
            <w:tcBorders>
              <w:top w:val="single" w:sz="8" w:space="0" w:color="000000"/>
              <w:left w:val="single" w:sz="8" w:space="0" w:color="000000"/>
              <w:bottom w:val="single" w:sz="8" w:space="0" w:color="000000"/>
              <w:right w:val="single" w:sz="8" w:space="0" w:color="000000"/>
            </w:tcBorders>
            <w:shd w:val="clear" w:color="auto" w:fill="F5F4F7"/>
            <w:tcMar>
              <w:top w:w="15" w:type="dxa"/>
              <w:left w:w="15" w:type="dxa"/>
              <w:bottom w:w="0" w:type="dxa"/>
              <w:right w:w="15" w:type="dxa"/>
            </w:tcMar>
            <w:vAlign w:val="center"/>
          </w:tcPr>
          <w:p w14:paraId="5F7E49BB" w14:textId="4C451965" w:rsidR="008644CE" w:rsidRPr="00516320" w:rsidRDefault="008644CE" w:rsidP="0018563B">
            <w:pPr>
              <w:spacing w:before="0" w:after="0" w:line="240" w:lineRule="auto"/>
              <w:textAlignment w:val="center"/>
              <w:rPr>
                <w:rFonts w:eastAsiaTheme="minorEastAsia" w:hAnsi="Arial"/>
                <w:color w:val="000000" w:themeColor="text1"/>
                <w:kern w:val="24"/>
                <w:sz w:val="19"/>
                <w:szCs w:val="19"/>
                <w:lang w:eastAsia="en-GB"/>
              </w:rPr>
            </w:pPr>
            <w:r w:rsidRPr="00BB5A00">
              <w:rPr>
                <w:rFonts w:eastAsiaTheme="minorEastAsia" w:hAnsi="Arial" w:cs="Arial"/>
                <w:color w:val="000000"/>
                <w:kern w:val="24"/>
                <w:sz w:val="19"/>
                <w:szCs w:val="19"/>
                <w:lang w:eastAsia="en-GB"/>
              </w:rPr>
              <w:t>Project not yet started – anticipated start date June 23'</w:t>
            </w:r>
          </w:p>
        </w:tc>
      </w:tr>
      <w:tr w:rsidR="008644CE" w:rsidRPr="00516320" w14:paraId="3AD4B44A" w14:textId="77777777" w:rsidTr="008644CE">
        <w:trPr>
          <w:trHeight w:val="867"/>
        </w:trPr>
        <w:tc>
          <w:tcPr>
            <w:tcW w:w="0" w:type="auto"/>
            <w:vMerge/>
            <w:tcBorders>
              <w:left w:val="single" w:sz="8" w:space="0" w:color="000000"/>
              <w:right w:val="single" w:sz="8" w:space="0" w:color="000000"/>
            </w:tcBorders>
            <w:shd w:val="clear" w:color="auto" w:fill="002060"/>
            <w:vAlign w:val="center"/>
          </w:tcPr>
          <w:p w14:paraId="071C029A" w14:textId="77777777" w:rsidR="008644CE" w:rsidRPr="00516320" w:rsidRDefault="008644CE" w:rsidP="0018563B">
            <w:pPr>
              <w:spacing w:before="0" w:after="0" w:line="240" w:lineRule="auto"/>
              <w:rPr>
                <w:rFonts w:ascii="Arial" w:eastAsia="Times New Roman" w:hAnsi="Arial" w:cs="Arial"/>
                <w:sz w:val="36"/>
                <w:szCs w:val="36"/>
                <w:lang w:eastAsia="en-GB"/>
              </w:rPr>
            </w:pPr>
          </w:p>
        </w:tc>
        <w:tc>
          <w:tcPr>
            <w:tcW w:w="2331" w:type="dxa"/>
            <w:tcBorders>
              <w:top w:val="single" w:sz="8" w:space="0" w:color="000000"/>
              <w:left w:val="single" w:sz="8" w:space="0" w:color="000000"/>
              <w:bottom w:val="single" w:sz="8" w:space="0" w:color="000000"/>
              <w:right w:val="single" w:sz="8" w:space="0" w:color="000000"/>
            </w:tcBorders>
            <w:shd w:val="clear" w:color="auto" w:fill="DDEBF7"/>
            <w:tcMar>
              <w:top w:w="15" w:type="dxa"/>
              <w:left w:w="15" w:type="dxa"/>
              <w:bottom w:w="0" w:type="dxa"/>
              <w:right w:w="15" w:type="dxa"/>
            </w:tcMar>
            <w:vAlign w:val="center"/>
          </w:tcPr>
          <w:p w14:paraId="589C858A" w14:textId="11EC0BEA" w:rsidR="008644CE" w:rsidRPr="00516320" w:rsidRDefault="008644CE" w:rsidP="0018563B">
            <w:pPr>
              <w:spacing w:before="0" w:after="0" w:line="240" w:lineRule="auto"/>
              <w:rPr>
                <w:rFonts w:asciiTheme="majorHAnsi" w:eastAsiaTheme="minorEastAsia" w:hAnsi="Arial"/>
                <w:color w:val="000000" w:themeColor="text1"/>
                <w:kern w:val="24"/>
                <w:sz w:val="19"/>
                <w:szCs w:val="19"/>
                <w:lang w:eastAsia="en-GB"/>
              </w:rPr>
            </w:pPr>
            <w:r w:rsidRPr="00BB5A00">
              <w:rPr>
                <w:rFonts w:asciiTheme="majorHAnsi" w:eastAsiaTheme="minorEastAsia" w:hAnsi="Arial"/>
                <w:color w:val="000000" w:themeColor="text1"/>
                <w:kern w:val="24"/>
                <w:sz w:val="19"/>
                <w:szCs w:val="19"/>
                <w:lang w:val="en-US" w:eastAsia="en-GB"/>
              </w:rPr>
              <w:t>Finance system review</w:t>
            </w:r>
          </w:p>
        </w:tc>
        <w:tc>
          <w:tcPr>
            <w:tcW w:w="2080" w:type="dxa"/>
            <w:tcBorders>
              <w:top w:val="single" w:sz="8" w:space="0" w:color="000000"/>
              <w:left w:val="single" w:sz="8" w:space="0" w:color="000000"/>
              <w:bottom w:val="single" w:sz="8" w:space="0" w:color="000000"/>
              <w:right w:val="single" w:sz="8" w:space="0" w:color="000000"/>
            </w:tcBorders>
            <w:shd w:val="clear" w:color="auto" w:fill="DDEBF7"/>
            <w:tcMar>
              <w:top w:w="15" w:type="dxa"/>
              <w:left w:w="15" w:type="dxa"/>
              <w:bottom w:w="0" w:type="dxa"/>
              <w:right w:w="15" w:type="dxa"/>
            </w:tcMar>
            <w:vAlign w:val="center"/>
          </w:tcPr>
          <w:p w14:paraId="07BBF6CC" w14:textId="2791C9C8" w:rsidR="008644CE" w:rsidRPr="00516320" w:rsidRDefault="008644CE" w:rsidP="0018563B">
            <w:pPr>
              <w:spacing w:before="0" w:after="0" w:line="240" w:lineRule="auto"/>
              <w:textAlignment w:val="center"/>
              <w:rPr>
                <w:rFonts w:eastAsiaTheme="minorEastAsia" w:hAnsi="Arial"/>
                <w:color w:val="000000" w:themeColor="text1"/>
                <w:kern w:val="24"/>
                <w:sz w:val="19"/>
                <w:szCs w:val="19"/>
                <w:lang w:eastAsia="en-GB"/>
              </w:rPr>
            </w:pPr>
            <w:r w:rsidRPr="00BB5A00">
              <w:rPr>
                <w:rFonts w:asciiTheme="majorHAnsi" w:eastAsiaTheme="minorEastAsia" w:hAnsi="Arial"/>
                <w:color w:val="000000" w:themeColor="text1"/>
                <w:kern w:val="24"/>
                <w:sz w:val="19"/>
                <w:szCs w:val="19"/>
                <w:lang w:eastAsia="en-GB"/>
              </w:rPr>
              <w:t>Richard Sydee</w:t>
            </w:r>
          </w:p>
        </w:tc>
        <w:tc>
          <w:tcPr>
            <w:tcW w:w="51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50F7A6A8" w14:textId="77777777" w:rsidR="008644CE" w:rsidRPr="00516320" w:rsidRDefault="008644CE" w:rsidP="0018563B">
            <w:pPr>
              <w:spacing w:before="0" w:after="0" w:line="240" w:lineRule="auto"/>
              <w:rPr>
                <w:rFonts w:ascii="Arial" w:eastAsia="Times New Roman" w:hAnsi="Arial" w:cs="Arial"/>
                <w:sz w:val="36"/>
                <w:szCs w:val="36"/>
                <w:lang w:eastAsia="en-GB"/>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47C15DDD" w14:textId="77777777" w:rsidR="008644CE" w:rsidRPr="00516320" w:rsidRDefault="008644CE" w:rsidP="0018563B">
            <w:pPr>
              <w:spacing w:before="0" w:after="0" w:line="240" w:lineRule="auto"/>
              <w:rPr>
                <w:rFonts w:ascii="Times New Roman" w:eastAsia="Times New Roman" w:hAnsi="Times New Roman" w:cs="Times New Roman"/>
                <w:sz w:val="20"/>
                <w:szCs w:val="20"/>
                <w:lang w:eastAsia="en-GB"/>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603AB12A" w14:textId="77777777" w:rsidR="008644CE" w:rsidRPr="00516320" w:rsidRDefault="008644CE" w:rsidP="0018563B">
            <w:pPr>
              <w:spacing w:before="0" w:after="0" w:line="240" w:lineRule="auto"/>
              <w:rPr>
                <w:rFonts w:ascii="Times New Roman" w:eastAsia="Times New Roman" w:hAnsi="Times New Roman" w:cs="Times New Roman"/>
                <w:sz w:val="20"/>
                <w:szCs w:val="20"/>
                <w:lang w:eastAsia="en-GB"/>
              </w:rPr>
            </w:pPr>
          </w:p>
        </w:tc>
        <w:tc>
          <w:tcPr>
            <w:tcW w:w="7229" w:type="dxa"/>
            <w:tcBorders>
              <w:top w:val="single" w:sz="8" w:space="0" w:color="000000"/>
              <w:left w:val="single" w:sz="8" w:space="0" w:color="000000"/>
              <w:bottom w:val="single" w:sz="8" w:space="0" w:color="000000"/>
              <w:right w:val="single" w:sz="8" w:space="0" w:color="000000"/>
            </w:tcBorders>
            <w:shd w:val="clear" w:color="auto" w:fill="F5F4F7"/>
            <w:tcMar>
              <w:top w:w="15" w:type="dxa"/>
              <w:left w:w="15" w:type="dxa"/>
              <w:bottom w:w="0" w:type="dxa"/>
              <w:right w:w="15" w:type="dxa"/>
            </w:tcMar>
            <w:vAlign w:val="center"/>
          </w:tcPr>
          <w:p w14:paraId="46AB75D8" w14:textId="1EF6B2DC" w:rsidR="008644CE" w:rsidRPr="00516320" w:rsidRDefault="008644CE" w:rsidP="0018563B">
            <w:pPr>
              <w:spacing w:before="0" w:after="0" w:line="240" w:lineRule="auto"/>
              <w:textAlignment w:val="center"/>
              <w:rPr>
                <w:rFonts w:eastAsiaTheme="minorEastAsia" w:hAnsi="Arial"/>
                <w:color w:val="000000" w:themeColor="text1"/>
                <w:kern w:val="24"/>
                <w:sz w:val="19"/>
                <w:szCs w:val="19"/>
                <w:lang w:eastAsia="en-GB"/>
              </w:rPr>
            </w:pPr>
            <w:r w:rsidRPr="00BB5A00">
              <w:rPr>
                <w:rFonts w:eastAsiaTheme="minorEastAsia" w:hAnsi="Arial" w:cs="Arial"/>
                <w:color w:val="000000"/>
                <w:kern w:val="24"/>
                <w:sz w:val="19"/>
                <w:szCs w:val="19"/>
                <w:lang w:eastAsia="en-GB"/>
              </w:rPr>
              <w:t>Project not yet started – anticipated start date July 23'</w:t>
            </w:r>
          </w:p>
        </w:tc>
      </w:tr>
      <w:tr w:rsidR="008644CE" w:rsidRPr="00516320" w14:paraId="11EFE355" w14:textId="77777777" w:rsidTr="008644CE">
        <w:trPr>
          <w:trHeight w:val="867"/>
        </w:trPr>
        <w:tc>
          <w:tcPr>
            <w:tcW w:w="0" w:type="auto"/>
            <w:vMerge/>
            <w:tcBorders>
              <w:left w:val="single" w:sz="8" w:space="0" w:color="000000"/>
              <w:right w:val="single" w:sz="8" w:space="0" w:color="000000"/>
            </w:tcBorders>
            <w:shd w:val="clear" w:color="auto" w:fill="002060"/>
            <w:vAlign w:val="center"/>
          </w:tcPr>
          <w:p w14:paraId="0754D2A8" w14:textId="77777777" w:rsidR="008644CE" w:rsidRPr="00516320" w:rsidRDefault="008644CE" w:rsidP="0018563B">
            <w:pPr>
              <w:spacing w:before="0" w:after="0" w:line="240" w:lineRule="auto"/>
              <w:rPr>
                <w:rFonts w:ascii="Arial" w:eastAsia="Times New Roman" w:hAnsi="Arial" w:cs="Arial"/>
                <w:sz w:val="36"/>
                <w:szCs w:val="36"/>
                <w:lang w:eastAsia="en-GB"/>
              </w:rPr>
            </w:pPr>
          </w:p>
        </w:tc>
        <w:tc>
          <w:tcPr>
            <w:tcW w:w="2331" w:type="dxa"/>
            <w:tcBorders>
              <w:top w:val="single" w:sz="8" w:space="0" w:color="000000"/>
              <w:left w:val="single" w:sz="8" w:space="0" w:color="000000"/>
              <w:bottom w:val="single" w:sz="8" w:space="0" w:color="000000"/>
              <w:right w:val="single" w:sz="8" w:space="0" w:color="000000"/>
            </w:tcBorders>
            <w:shd w:val="clear" w:color="auto" w:fill="DDEBF7"/>
            <w:tcMar>
              <w:top w:w="15" w:type="dxa"/>
              <w:left w:w="15" w:type="dxa"/>
              <w:bottom w:w="0" w:type="dxa"/>
              <w:right w:w="15" w:type="dxa"/>
            </w:tcMar>
            <w:vAlign w:val="center"/>
          </w:tcPr>
          <w:p w14:paraId="5C223465" w14:textId="7938540C" w:rsidR="008644CE" w:rsidRPr="00516320" w:rsidRDefault="008644CE" w:rsidP="0018563B">
            <w:pPr>
              <w:spacing w:before="0" w:after="0" w:line="240" w:lineRule="auto"/>
              <w:rPr>
                <w:rFonts w:asciiTheme="majorHAnsi" w:eastAsiaTheme="minorEastAsia" w:hAnsi="Arial"/>
                <w:color w:val="000000" w:themeColor="text1"/>
                <w:kern w:val="24"/>
                <w:sz w:val="19"/>
                <w:szCs w:val="19"/>
                <w:lang w:eastAsia="en-GB"/>
              </w:rPr>
            </w:pPr>
            <w:r w:rsidRPr="00BB5A00">
              <w:rPr>
                <w:rFonts w:asciiTheme="majorHAnsi" w:eastAsiaTheme="minorEastAsia" w:hAnsi="Arial"/>
                <w:color w:val="000000" w:themeColor="text1"/>
                <w:kern w:val="24"/>
                <w:sz w:val="19"/>
                <w:szCs w:val="19"/>
                <w:lang w:eastAsia="en-GB"/>
              </w:rPr>
              <w:t>People strategy development</w:t>
            </w:r>
          </w:p>
        </w:tc>
        <w:tc>
          <w:tcPr>
            <w:tcW w:w="2080" w:type="dxa"/>
            <w:tcBorders>
              <w:top w:val="single" w:sz="8" w:space="0" w:color="000000"/>
              <w:left w:val="single" w:sz="8" w:space="0" w:color="000000"/>
              <w:bottom w:val="single" w:sz="8" w:space="0" w:color="000000"/>
              <w:right w:val="single" w:sz="8" w:space="0" w:color="000000"/>
            </w:tcBorders>
            <w:shd w:val="clear" w:color="auto" w:fill="DDEBF7"/>
            <w:tcMar>
              <w:top w:w="15" w:type="dxa"/>
              <w:left w:w="15" w:type="dxa"/>
              <w:bottom w:w="0" w:type="dxa"/>
              <w:right w:w="15" w:type="dxa"/>
            </w:tcMar>
            <w:vAlign w:val="center"/>
          </w:tcPr>
          <w:p w14:paraId="2740FDD4" w14:textId="00FD3E0F" w:rsidR="008644CE" w:rsidRPr="00516320" w:rsidRDefault="008644CE" w:rsidP="0018563B">
            <w:pPr>
              <w:spacing w:before="0" w:after="0" w:line="240" w:lineRule="auto"/>
              <w:textAlignment w:val="center"/>
              <w:rPr>
                <w:rFonts w:eastAsiaTheme="minorEastAsia" w:hAnsi="Arial"/>
                <w:color w:val="000000" w:themeColor="text1"/>
                <w:kern w:val="24"/>
                <w:sz w:val="19"/>
                <w:szCs w:val="19"/>
                <w:lang w:eastAsia="en-GB"/>
              </w:rPr>
            </w:pPr>
            <w:r w:rsidRPr="00BB5A00">
              <w:rPr>
                <w:rFonts w:asciiTheme="majorHAnsi" w:eastAsia="Times New Roman" w:hAnsi="Arial" w:cs="Arial"/>
                <w:color w:val="000000"/>
                <w:kern w:val="24"/>
                <w:sz w:val="19"/>
                <w:szCs w:val="19"/>
                <w:lang w:eastAsia="en-GB"/>
              </w:rPr>
              <w:t>Richard Sydee</w:t>
            </w:r>
          </w:p>
        </w:tc>
        <w:tc>
          <w:tcPr>
            <w:tcW w:w="51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03568084" w14:textId="77777777" w:rsidR="008644CE" w:rsidRPr="00516320" w:rsidRDefault="008644CE" w:rsidP="0018563B">
            <w:pPr>
              <w:spacing w:before="0" w:after="0" w:line="240" w:lineRule="auto"/>
              <w:rPr>
                <w:rFonts w:ascii="Arial" w:eastAsia="Times New Roman" w:hAnsi="Arial" w:cs="Arial"/>
                <w:sz w:val="36"/>
                <w:szCs w:val="36"/>
                <w:lang w:eastAsia="en-GB"/>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288CFAE8" w14:textId="77777777" w:rsidR="008644CE" w:rsidRPr="00516320" w:rsidRDefault="008644CE" w:rsidP="0018563B">
            <w:pPr>
              <w:spacing w:before="0" w:after="0" w:line="240" w:lineRule="auto"/>
              <w:rPr>
                <w:rFonts w:ascii="Times New Roman" w:eastAsia="Times New Roman" w:hAnsi="Times New Roman" w:cs="Times New Roman"/>
                <w:sz w:val="20"/>
                <w:szCs w:val="20"/>
                <w:lang w:eastAsia="en-GB"/>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43825D8A" w14:textId="77777777" w:rsidR="008644CE" w:rsidRPr="00516320" w:rsidRDefault="008644CE" w:rsidP="0018563B">
            <w:pPr>
              <w:spacing w:before="0" w:after="0" w:line="240" w:lineRule="auto"/>
              <w:rPr>
                <w:rFonts w:ascii="Times New Roman" w:eastAsia="Times New Roman" w:hAnsi="Times New Roman" w:cs="Times New Roman"/>
                <w:sz w:val="20"/>
                <w:szCs w:val="20"/>
                <w:lang w:eastAsia="en-GB"/>
              </w:rPr>
            </w:pPr>
          </w:p>
        </w:tc>
        <w:tc>
          <w:tcPr>
            <w:tcW w:w="7229" w:type="dxa"/>
            <w:tcBorders>
              <w:top w:val="single" w:sz="8" w:space="0" w:color="000000"/>
              <w:left w:val="single" w:sz="8" w:space="0" w:color="000000"/>
              <w:bottom w:val="single" w:sz="8" w:space="0" w:color="000000"/>
              <w:right w:val="single" w:sz="8" w:space="0" w:color="000000"/>
            </w:tcBorders>
            <w:shd w:val="clear" w:color="auto" w:fill="F5F4F7"/>
            <w:tcMar>
              <w:top w:w="15" w:type="dxa"/>
              <w:left w:w="15" w:type="dxa"/>
              <w:bottom w:w="0" w:type="dxa"/>
              <w:right w:w="15" w:type="dxa"/>
            </w:tcMar>
            <w:vAlign w:val="center"/>
          </w:tcPr>
          <w:p w14:paraId="7B4B4701" w14:textId="0E4275EE" w:rsidR="008644CE" w:rsidRPr="00516320" w:rsidRDefault="008644CE" w:rsidP="0018563B">
            <w:pPr>
              <w:spacing w:before="0" w:after="0" w:line="240" w:lineRule="auto"/>
              <w:textAlignment w:val="center"/>
              <w:rPr>
                <w:rFonts w:eastAsiaTheme="minorEastAsia" w:hAnsi="Arial"/>
                <w:color w:val="000000" w:themeColor="text1"/>
                <w:kern w:val="24"/>
                <w:sz w:val="19"/>
                <w:szCs w:val="19"/>
                <w:lang w:eastAsia="en-GB"/>
              </w:rPr>
            </w:pPr>
            <w:r w:rsidRPr="00BB5A00">
              <w:rPr>
                <w:rFonts w:eastAsiaTheme="minorEastAsia" w:hAnsi="Arial" w:cs="Arial"/>
                <w:color w:val="000000"/>
                <w:kern w:val="24"/>
                <w:sz w:val="19"/>
                <w:szCs w:val="19"/>
                <w:lang w:eastAsia="en-GB"/>
              </w:rPr>
              <w:t>Project not yet started – anticipated start date January 24'</w:t>
            </w:r>
          </w:p>
        </w:tc>
      </w:tr>
      <w:tr w:rsidR="008644CE" w:rsidRPr="00516320" w14:paraId="25709F64" w14:textId="77777777" w:rsidTr="00A15337">
        <w:trPr>
          <w:trHeight w:val="867"/>
        </w:trPr>
        <w:tc>
          <w:tcPr>
            <w:tcW w:w="0" w:type="auto"/>
            <w:vMerge/>
            <w:tcBorders>
              <w:left w:val="single" w:sz="8" w:space="0" w:color="000000"/>
              <w:bottom w:val="single" w:sz="8" w:space="0" w:color="000000"/>
              <w:right w:val="single" w:sz="8" w:space="0" w:color="000000"/>
            </w:tcBorders>
            <w:shd w:val="clear" w:color="auto" w:fill="002060"/>
            <w:vAlign w:val="center"/>
          </w:tcPr>
          <w:p w14:paraId="589371B6" w14:textId="77777777" w:rsidR="008644CE" w:rsidRPr="00516320" w:rsidRDefault="008644CE" w:rsidP="0018563B">
            <w:pPr>
              <w:spacing w:before="0" w:after="0" w:line="240" w:lineRule="auto"/>
              <w:rPr>
                <w:rFonts w:ascii="Arial" w:eastAsia="Times New Roman" w:hAnsi="Arial" w:cs="Arial"/>
                <w:sz w:val="36"/>
                <w:szCs w:val="36"/>
                <w:lang w:eastAsia="en-GB"/>
              </w:rPr>
            </w:pPr>
          </w:p>
        </w:tc>
        <w:tc>
          <w:tcPr>
            <w:tcW w:w="2331" w:type="dxa"/>
            <w:tcBorders>
              <w:top w:val="single" w:sz="8" w:space="0" w:color="000000"/>
              <w:left w:val="single" w:sz="8" w:space="0" w:color="000000"/>
              <w:bottom w:val="single" w:sz="8" w:space="0" w:color="000000"/>
              <w:right w:val="single" w:sz="8" w:space="0" w:color="000000"/>
            </w:tcBorders>
            <w:shd w:val="clear" w:color="auto" w:fill="DDEBF7"/>
            <w:tcMar>
              <w:top w:w="15" w:type="dxa"/>
              <w:left w:w="15" w:type="dxa"/>
              <w:bottom w:w="0" w:type="dxa"/>
              <w:right w:w="15" w:type="dxa"/>
            </w:tcMar>
            <w:vAlign w:val="center"/>
          </w:tcPr>
          <w:p w14:paraId="2B7E3E0B" w14:textId="1E9CF41D" w:rsidR="008644CE" w:rsidRPr="00516320" w:rsidRDefault="008644CE" w:rsidP="0018563B">
            <w:pPr>
              <w:spacing w:before="0" w:after="0" w:line="240" w:lineRule="auto"/>
              <w:rPr>
                <w:rFonts w:asciiTheme="majorHAnsi" w:eastAsiaTheme="minorEastAsia" w:hAnsi="Arial"/>
                <w:color w:val="000000" w:themeColor="text1"/>
                <w:kern w:val="24"/>
                <w:sz w:val="19"/>
                <w:szCs w:val="19"/>
                <w:lang w:eastAsia="en-GB"/>
              </w:rPr>
            </w:pPr>
            <w:r w:rsidRPr="00BB5A00">
              <w:rPr>
                <w:rFonts w:asciiTheme="majorHAnsi" w:eastAsiaTheme="minorEastAsia" w:hAnsi="Arial"/>
                <w:color w:val="000000" w:themeColor="text1"/>
                <w:kern w:val="24"/>
                <w:sz w:val="19"/>
                <w:szCs w:val="19"/>
                <w:lang w:eastAsia="en-GB"/>
              </w:rPr>
              <w:t>Performance management review</w:t>
            </w:r>
          </w:p>
        </w:tc>
        <w:tc>
          <w:tcPr>
            <w:tcW w:w="2080" w:type="dxa"/>
            <w:tcBorders>
              <w:top w:val="single" w:sz="8" w:space="0" w:color="000000"/>
              <w:left w:val="single" w:sz="8" w:space="0" w:color="000000"/>
              <w:bottom w:val="single" w:sz="8" w:space="0" w:color="000000"/>
              <w:right w:val="single" w:sz="8" w:space="0" w:color="000000"/>
            </w:tcBorders>
            <w:shd w:val="clear" w:color="auto" w:fill="DDEBF7"/>
            <w:tcMar>
              <w:top w:w="15" w:type="dxa"/>
              <w:left w:w="15" w:type="dxa"/>
              <w:bottom w:w="0" w:type="dxa"/>
              <w:right w:w="15" w:type="dxa"/>
            </w:tcMar>
            <w:vAlign w:val="center"/>
          </w:tcPr>
          <w:p w14:paraId="251EE731" w14:textId="064DADD8" w:rsidR="008644CE" w:rsidRPr="00516320" w:rsidRDefault="008644CE" w:rsidP="0018563B">
            <w:pPr>
              <w:spacing w:before="0" w:after="0" w:line="240" w:lineRule="auto"/>
              <w:textAlignment w:val="center"/>
              <w:rPr>
                <w:rFonts w:eastAsiaTheme="minorEastAsia" w:hAnsi="Arial"/>
                <w:color w:val="000000" w:themeColor="text1"/>
                <w:kern w:val="24"/>
                <w:sz w:val="19"/>
                <w:szCs w:val="19"/>
                <w:lang w:eastAsia="en-GB"/>
              </w:rPr>
            </w:pPr>
            <w:r w:rsidRPr="00BB5A00">
              <w:rPr>
                <w:rFonts w:asciiTheme="majorHAnsi" w:eastAsia="Times New Roman" w:hAnsi="Arial" w:cs="Arial"/>
                <w:color w:val="000000"/>
                <w:kern w:val="24"/>
                <w:sz w:val="19"/>
                <w:szCs w:val="19"/>
                <w:lang w:eastAsia="en-GB"/>
              </w:rPr>
              <w:t>Richard Sydee</w:t>
            </w:r>
          </w:p>
        </w:tc>
        <w:tc>
          <w:tcPr>
            <w:tcW w:w="516"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tcPr>
          <w:p w14:paraId="2D98094F" w14:textId="77777777" w:rsidR="008644CE" w:rsidRPr="00516320" w:rsidRDefault="008644CE" w:rsidP="0018563B">
            <w:pPr>
              <w:spacing w:before="0" w:after="0" w:line="240" w:lineRule="auto"/>
              <w:rPr>
                <w:rFonts w:ascii="Arial" w:eastAsia="Times New Roman" w:hAnsi="Arial" w:cs="Arial"/>
                <w:sz w:val="36"/>
                <w:szCs w:val="36"/>
                <w:lang w:eastAsia="en-GB"/>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3CA9F29E" w14:textId="77777777" w:rsidR="008644CE" w:rsidRPr="00516320" w:rsidRDefault="008644CE" w:rsidP="0018563B">
            <w:pPr>
              <w:spacing w:before="0" w:after="0" w:line="240" w:lineRule="auto"/>
              <w:rPr>
                <w:rFonts w:ascii="Times New Roman" w:eastAsia="Times New Roman" w:hAnsi="Times New Roman" w:cs="Times New Roman"/>
                <w:sz w:val="20"/>
                <w:szCs w:val="20"/>
                <w:lang w:eastAsia="en-GB"/>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5ECD65D9" w14:textId="77777777" w:rsidR="008644CE" w:rsidRPr="00516320" w:rsidRDefault="008644CE" w:rsidP="0018563B">
            <w:pPr>
              <w:spacing w:before="0" w:after="0" w:line="240" w:lineRule="auto"/>
              <w:rPr>
                <w:rFonts w:ascii="Times New Roman" w:eastAsia="Times New Roman" w:hAnsi="Times New Roman" w:cs="Times New Roman"/>
                <w:sz w:val="20"/>
                <w:szCs w:val="20"/>
                <w:lang w:eastAsia="en-GB"/>
              </w:rPr>
            </w:pPr>
          </w:p>
        </w:tc>
        <w:tc>
          <w:tcPr>
            <w:tcW w:w="7229" w:type="dxa"/>
            <w:tcBorders>
              <w:top w:val="single" w:sz="8" w:space="0" w:color="000000"/>
              <w:left w:val="single" w:sz="8" w:space="0" w:color="000000"/>
              <w:bottom w:val="single" w:sz="8" w:space="0" w:color="000000"/>
              <w:right w:val="single" w:sz="8" w:space="0" w:color="000000"/>
            </w:tcBorders>
            <w:shd w:val="clear" w:color="auto" w:fill="F5F4F7"/>
            <w:tcMar>
              <w:top w:w="15" w:type="dxa"/>
              <w:left w:w="15" w:type="dxa"/>
              <w:bottom w:w="0" w:type="dxa"/>
              <w:right w:w="15" w:type="dxa"/>
            </w:tcMar>
            <w:vAlign w:val="center"/>
          </w:tcPr>
          <w:p w14:paraId="08C9167E" w14:textId="4415D239" w:rsidR="008644CE" w:rsidRPr="0033076E" w:rsidRDefault="008644CE" w:rsidP="0033076E">
            <w:pPr>
              <w:spacing w:before="0" w:after="0" w:line="240" w:lineRule="auto"/>
              <w:textAlignment w:val="center"/>
              <w:rPr>
                <w:rFonts w:eastAsiaTheme="minorEastAsia" w:hAnsi="Arial" w:cs="Arial"/>
                <w:color w:val="000000"/>
                <w:kern w:val="24"/>
                <w:sz w:val="19"/>
                <w:szCs w:val="19"/>
                <w:lang w:eastAsia="en-GB"/>
              </w:rPr>
            </w:pPr>
            <w:r w:rsidRPr="00BB5A00">
              <w:rPr>
                <w:rFonts w:eastAsiaTheme="minorEastAsia" w:hAnsi="Arial" w:cs="Arial"/>
                <w:color w:val="000000"/>
                <w:kern w:val="24"/>
                <w:sz w:val="19"/>
                <w:szCs w:val="19"/>
                <w:lang w:eastAsia="en-GB"/>
              </w:rPr>
              <w:t>Project not yet started – anticipated start date September 23'</w:t>
            </w:r>
          </w:p>
        </w:tc>
      </w:tr>
      <w:tr w:rsidR="009874E4" w:rsidRPr="00516320" w14:paraId="343AA22B" w14:textId="77777777" w:rsidTr="0035173B">
        <w:trPr>
          <w:trHeight w:val="867"/>
        </w:trPr>
        <w:tc>
          <w:tcPr>
            <w:tcW w:w="0" w:type="auto"/>
            <w:vMerge w:val="restart"/>
            <w:tcBorders>
              <w:left w:val="single" w:sz="8" w:space="0" w:color="000000"/>
              <w:right w:val="single" w:sz="8" w:space="0" w:color="000000"/>
            </w:tcBorders>
            <w:shd w:val="clear" w:color="auto" w:fill="002060"/>
            <w:vAlign w:val="center"/>
          </w:tcPr>
          <w:p w14:paraId="2DB11920" w14:textId="77777777" w:rsidR="009874E4" w:rsidRPr="00516320" w:rsidRDefault="009874E4" w:rsidP="00ED5154">
            <w:pPr>
              <w:spacing w:before="0" w:after="0" w:line="240" w:lineRule="auto"/>
              <w:rPr>
                <w:rFonts w:ascii="Arial" w:eastAsia="Times New Roman" w:hAnsi="Arial" w:cs="Arial"/>
                <w:sz w:val="36"/>
                <w:szCs w:val="36"/>
                <w:lang w:eastAsia="en-GB"/>
              </w:rPr>
            </w:pPr>
          </w:p>
        </w:tc>
        <w:tc>
          <w:tcPr>
            <w:tcW w:w="2331" w:type="dxa"/>
            <w:tcBorders>
              <w:top w:val="single" w:sz="8" w:space="0" w:color="000000"/>
              <w:left w:val="single" w:sz="8" w:space="0" w:color="000000"/>
              <w:bottom w:val="single" w:sz="8" w:space="0" w:color="000000"/>
              <w:right w:val="single" w:sz="8" w:space="0" w:color="000000"/>
            </w:tcBorders>
            <w:shd w:val="clear" w:color="auto" w:fill="DDEBF7"/>
            <w:tcMar>
              <w:top w:w="15" w:type="dxa"/>
              <w:left w:w="15" w:type="dxa"/>
              <w:bottom w:w="0" w:type="dxa"/>
              <w:right w:w="15" w:type="dxa"/>
            </w:tcMar>
            <w:vAlign w:val="center"/>
          </w:tcPr>
          <w:p w14:paraId="7E1DBD28" w14:textId="6FA9F14C" w:rsidR="009874E4" w:rsidRPr="00BB5A00" w:rsidRDefault="009874E4" w:rsidP="00ED5154">
            <w:pPr>
              <w:spacing w:before="0" w:after="0" w:line="240" w:lineRule="auto"/>
              <w:rPr>
                <w:rFonts w:asciiTheme="majorHAnsi" w:eastAsiaTheme="minorEastAsia" w:hAnsi="Arial"/>
                <w:color w:val="000000" w:themeColor="text1"/>
                <w:kern w:val="24"/>
                <w:sz w:val="19"/>
                <w:szCs w:val="19"/>
                <w:lang w:eastAsia="en-GB"/>
              </w:rPr>
            </w:pPr>
            <w:r w:rsidRPr="00C260B1">
              <w:rPr>
                <w:rFonts w:asciiTheme="majorHAnsi" w:eastAsia="Times New Roman" w:hAnsi="Arial" w:cs="Arial"/>
                <w:color w:val="000000"/>
                <w:kern w:val="24"/>
                <w:sz w:val="19"/>
                <w:szCs w:val="19"/>
                <w:lang w:eastAsia="en-GB"/>
              </w:rPr>
              <w:t>Data &amp; Security Protection Toolkit</w:t>
            </w:r>
          </w:p>
        </w:tc>
        <w:tc>
          <w:tcPr>
            <w:tcW w:w="2080" w:type="dxa"/>
            <w:tcBorders>
              <w:top w:val="single" w:sz="8" w:space="0" w:color="000000"/>
              <w:left w:val="single" w:sz="8" w:space="0" w:color="000000"/>
              <w:bottom w:val="single" w:sz="8" w:space="0" w:color="000000"/>
              <w:right w:val="single" w:sz="8" w:space="0" w:color="000000"/>
            </w:tcBorders>
            <w:shd w:val="clear" w:color="auto" w:fill="DDEBF7"/>
            <w:tcMar>
              <w:top w:w="15" w:type="dxa"/>
              <w:left w:w="15" w:type="dxa"/>
              <w:bottom w:w="0" w:type="dxa"/>
              <w:right w:w="15" w:type="dxa"/>
            </w:tcMar>
            <w:vAlign w:val="center"/>
          </w:tcPr>
          <w:p w14:paraId="55EEB43F" w14:textId="659AEEF0" w:rsidR="009874E4" w:rsidRPr="00BB5A00" w:rsidRDefault="009874E4" w:rsidP="00ED5154">
            <w:pPr>
              <w:spacing w:before="0" w:after="0" w:line="240" w:lineRule="auto"/>
              <w:textAlignment w:val="center"/>
              <w:rPr>
                <w:rFonts w:asciiTheme="majorHAnsi" w:eastAsia="Times New Roman" w:hAnsi="Arial" w:cs="Arial"/>
                <w:color w:val="000000"/>
                <w:kern w:val="24"/>
                <w:sz w:val="19"/>
                <w:szCs w:val="19"/>
                <w:lang w:eastAsia="en-GB"/>
              </w:rPr>
            </w:pPr>
            <w:r w:rsidRPr="00C260B1">
              <w:rPr>
                <w:rFonts w:asciiTheme="majorHAnsi" w:eastAsia="Times New Roman" w:hAnsi="Arial" w:cs="Arial"/>
                <w:color w:val="000000"/>
                <w:kern w:val="24"/>
                <w:sz w:val="19"/>
                <w:szCs w:val="19"/>
                <w:lang w:eastAsia="en-GB"/>
              </w:rPr>
              <w:t>Louise Dineley</w:t>
            </w:r>
          </w:p>
        </w:tc>
        <w:tc>
          <w:tcPr>
            <w:tcW w:w="516"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tcPr>
          <w:p w14:paraId="4185B385" w14:textId="77777777" w:rsidR="009874E4" w:rsidRPr="00516320" w:rsidRDefault="009874E4" w:rsidP="00ED5154">
            <w:pPr>
              <w:spacing w:before="0" w:after="0" w:line="240" w:lineRule="auto"/>
              <w:rPr>
                <w:rFonts w:ascii="Arial" w:eastAsia="Times New Roman" w:hAnsi="Arial" w:cs="Arial"/>
                <w:sz w:val="36"/>
                <w:szCs w:val="36"/>
                <w:lang w:eastAsia="en-GB"/>
              </w:rPr>
            </w:pPr>
          </w:p>
        </w:tc>
        <w:tc>
          <w:tcPr>
            <w:tcW w:w="567"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tcPr>
          <w:p w14:paraId="4144DEF7" w14:textId="77777777" w:rsidR="009874E4" w:rsidRPr="00516320" w:rsidRDefault="009874E4" w:rsidP="00ED5154">
            <w:pPr>
              <w:spacing w:before="0" w:after="0" w:line="240" w:lineRule="auto"/>
              <w:rPr>
                <w:rFonts w:ascii="Times New Roman" w:eastAsia="Times New Roman" w:hAnsi="Times New Roman" w:cs="Times New Roman"/>
                <w:sz w:val="20"/>
                <w:szCs w:val="20"/>
                <w:lang w:eastAsia="en-GB"/>
              </w:rPr>
            </w:pPr>
          </w:p>
        </w:tc>
        <w:tc>
          <w:tcPr>
            <w:tcW w:w="567" w:type="dxa"/>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0" w:type="dxa"/>
              <w:right w:w="15" w:type="dxa"/>
            </w:tcMar>
            <w:vAlign w:val="center"/>
          </w:tcPr>
          <w:p w14:paraId="0A2A87EB" w14:textId="77777777" w:rsidR="009874E4" w:rsidRPr="00516320" w:rsidRDefault="009874E4" w:rsidP="00ED5154">
            <w:pPr>
              <w:spacing w:before="0" w:after="0" w:line="240" w:lineRule="auto"/>
              <w:rPr>
                <w:rFonts w:ascii="Times New Roman" w:eastAsia="Times New Roman" w:hAnsi="Times New Roman" w:cs="Times New Roman"/>
                <w:sz w:val="20"/>
                <w:szCs w:val="20"/>
                <w:lang w:eastAsia="en-GB"/>
              </w:rPr>
            </w:pPr>
          </w:p>
        </w:tc>
        <w:tc>
          <w:tcPr>
            <w:tcW w:w="7229" w:type="dxa"/>
            <w:tcBorders>
              <w:top w:val="single" w:sz="8" w:space="0" w:color="000000"/>
              <w:left w:val="single" w:sz="8" w:space="0" w:color="000000"/>
              <w:bottom w:val="single" w:sz="8" w:space="0" w:color="000000"/>
              <w:right w:val="single" w:sz="8" w:space="0" w:color="000000"/>
            </w:tcBorders>
            <w:shd w:val="clear" w:color="auto" w:fill="F5F4F7"/>
            <w:tcMar>
              <w:top w:w="15" w:type="dxa"/>
              <w:left w:w="15" w:type="dxa"/>
              <w:bottom w:w="0" w:type="dxa"/>
              <w:right w:w="15" w:type="dxa"/>
            </w:tcMar>
            <w:vAlign w:val="center"/>
          </w:tcPr>
          <w:p w14:paraId="1CAD0236" w14:textId="03CD678D" w:rsidR="009874E4" w:rsidRPr="00BB5A00" w:rsidRDefault="009874E4" w:rsidP="00ED5154">
            <w:pPr>
              <w:spacing w:before="0" w:after="0" w:line="240" w:lineRule="auto"/>
              <w:textAlignment w:val="center"/>
              <w:rPr>
                <w:rFonts w:eastAsiaTheme="minorEastAsia" w:hAnsi="Arial" w:cs="Arial"/>
                <w:color w:val="000000"/>
                <w:kern w:val="24"/>
                <w:sz w:val="19"/>
                <w:szCs w:val="19"/>
                <w:lang w:eastAsia="en-GB"/>
              </w:rPr>
            </w:pPr>
            <w:r w:rsidRPr="00C260B1">
              <w:rPr>
                <w:rFonts w:ascii="Arial" w:eastAsiaTheme="minorEastAsia" w:hAnsi="Arial" w:cs="Arial"/>
                <w:color w:val="000000"/>
                <w:kern w:val="24"/>
                <w:sz w:val="19"/>
                <w:szCs w:val="19"/>
                <w:lang w:eastAsia="en-GB"/>
              </w:rPr>
              <w:t>Work continues in readiness for the final DSPT assessment on Jun 30 and for the Internal Audit (IA) fieldwork which started on 09 May completed on 05 Jun. The IA has scoped 44 assertions for review. At the time of writing GIAA have confirmed, subject to final assessment, that 25 are met, 15 are partially met and 04 have not been met. GIAA are still reviewing evidence and status is expected to improve. This is a considerable improvement since last year. GIAA will be issuing their draft IA report on 09 Jun</w:t>
            </w:r>
          </w:p>
        </w:tc>
      </w:tr>
      <w:tr w:rsidR="009874E4" w:rsidRPr="00516320" w14:paraId="60CBEE95" w14:textId="77777777" w:rsidTr="0035173B">
        <w:trPr>
          <w:trHeight w:val="867"/>
        </w:trPr>
        <w:tc>
          <w:tcPr>
            <w:tcW w:w="0" w:type="auto"/>
            <w:vMerge/>
            <w:tcBorders>
              <w:left w:val="single" w:sz="8" w:space="0" w:color="000000"/>
              <w:right w:val="single" w:sz="8" w:space="0" w:color="000000"/>
            </w:tcBorders>
            <w:shd w:val="clear" w:color="auto" w:fill="002060"/>
            <w:vAlign w:val="center"/>
          </w:tcPr>
          <w:p w14:paraId="2D06065C" w14:textId="77777777" w:rsidR="009874E4" w:rsidRPr="00516320" w:rsidRDefault="009874E4" w:rsidP="00ED5154">
            <w:pPr>
              <w:spacing w:before="0" w:after="0" w:line="240" w:lineRule="auto"/>
              <w:rPr>
                <w:rFonts w:ascii="Arial" w:eastAsia="Times New Roman" w:hAnsi="Arial" w:cs="Arial"/>
                <w:sz w:val="36"/>
                <w:szCs w:val="36"/>
                <w:lang w:eastAsia="en-GB"/>
              </w:rPr>
            </w:pPr>
          </w:p>
        </w:tc>
        <w:tc>
          <w:tcPr>
            <w:tcW w:w="2331" w:type="dxa"/>
            <w:tcBorders>
              <w:top w:val="single" w:sz="8" w:space="0" w:color="000000"/>
              <w:left w:val="single" w:sz="8" w:space="0" w:color="000000"/>
              <w:bottom w:val="single" w:sz="8" w:space="0" w:color="000000"/>
              <w:right w:val="single" w:sz="8" w:space="0" w:color="000000"/>
            </w:tcBorders>
            <w:shd w:val="clear" w:color="auto" w:fill="DDEBF7"/>
            <w:tcMar>
              <w:top w:w="15" w:type="dxa"/>
              <w:left w:w="15" w:type="dxa"/>
              <w:bottom w:w="0" w:type="dxa"/>
              <w:right w:w="15" w:type="dxa"/>
            </w:tcMar>
            <w:vAlign w:val="center"/>
          </w:tcPr>
          <w:p w14:paraId="5B2ED48E" w14:textId="0A8CBD86" w:rsidR="009874E4" w:rsidRPr="00C260B1" w:rsidRDefault="009874E4" w:rsidP="00ED5154">
            <w:pPr>
              <w:spacing w:before="0" w:after="0" w:line="240" w:lineRule="auto"/>
              <w:rPr>
                <w:rFonts w:asciiTheme="majorHAnsi" w:eastAsia="Times New Roman" w:hAnsi="Arial" w:cs="Arial"/>
                <w:color w:val="000000"/>
                <w:kern w:val="24"/>
                <w:sz w:val="19"/>
                <w:szCs w:val="19"/>
                <w:lang w:eastAsia="en-GB"/>
              </w:rPr>
            </w:pPr>
            <w:r w:rsidRPr="00C260B1">
              <w:rPr>
                <w:rFonts w:eastAsiaTheme="minorEastAsia" w:hAnsi="Arial"/>
                <w:color w:val="000000" w:themeColor="text1"/>
                <w:kern w:val="24"/>
                <w:sz w:val="19"/>
                <w:szCs w:val="19"/>
                <w:lang w:eastAsia="en-GB"/>
              </w:rPr>
              <w:t>Develop RIMI (Regulatory Insight Model &amp; Index)</w:t>
            </w:r>
          </w:p>
        </w:tc>
        <w:tc>
          <w:tcPr>
            <w:tcW w:w="2080" w:type="dxa"/>
            <w:tcBorders>
              <w:top w:val="single" w:sz="8" w:space="0" w:color="000000"/>
              <w:left w:val="single" w:sz="8" w:space="0" w:color="000000"/>
              <w:bottom w:val="single" w:sz="8" w:space="0" w:color="000000"/>
              <w:right w:val="single" w:sz="8" w:space="0" w:color="000000"/>
            </w:tcBorders>
            <w:shd w:val="clear" w:color="auto" w:fill="DDEBF7"/>
            <w:tcMar>
              <w:top w:w="15" w:type="dxa"/>
              <w:left w:w="15" w:type="dxa"/>
              <w:bottom w:w="0" w:type="dxa"/>
              <w:right w:w="15" w:type="dxa"/>
            </w:tcMar>
            <w:vAlign w:val="center"/>
          </w:tcPr>
          <w:p w14:paraId="2E9D4353" w14:textId="544F66AA" w:rsidR="009874E4" w:rsidRPr="00C260B1" w:rsidRDefault="009874E4" w:rsidP="00ED5154">
            <w:pPr>
              <w:spacing w:before="0" w:after="0" w:line="240" w:lineRule="auto"/>
              <w:textAlignment w:val="center"/>
              <w:rPr>
                <w:rFonts w:asciiTheme="majorHAnsi" w:eastAsia="Times New Roman" w:hAnsi="Arial" w:cs="Arial"/>
                <w:color w:val="000000"/>
                <w:kern w:val="24"/>
                <w:sz w:val="19"/>
                <w:szCs w:val="19"/>
                <w:lang w:eastAsia="en-GB"/>
              </w:rPr>
            </w:pPr>
            <w:r w:rsidRPr="00C260B1">
              <w:rPr>
                <w:rFonts w:asciiTheme="majorHAnsi" w:eastAsiaTheme="minorEastAsia" w:hAnsi="Arial"/>
                <w:color w:val="000000"/>
                <w:kern w:val="24"/>
                <w:sz w:val="19"/>
                <w:szCs w:val="19"/>
                <w:lang w:eastAsia="en-GB"/>
              </w:rPr>
              <w:t>Louise Dineley</w:t>
            </w:r>
          </w:p>
        </w:tc>
        <w:tc>
          <w:tcPr>
            <w:tcW w:w="516"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tcPr>
          <w:p w14:paraId="622C84AB" w14:textId="77777777" w:rsidR="009874E4" w:rsidRPr="00516320" w:rsidRDefault="009874E4" w:rsidP="00ED5154">
            <w:pPr>
              <w:spacing w:before="0" w:after="0" w:line="240" w:lineRule="auto"/>
              <w:rPr>
                <w:rFonts w:ascii="Arial" w:eastAsia="Times New Roman" w:hAnsi="Arial" w:cs="Arial"/>
                <w:sz w:val="36"/>
                <w:szCs w:val="36"/>
                <w:lang w:eastAsia="en-GB"/>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60EA72D4" w14:textId="77777777" w:rsidR="009874E4" w:rsidRPr="00516320" w:rsidRDefault="009874E4" w:rsidP="00ED5154">
            <w:pPr>
              <w:spacing w:before="0" w:after="0" w:line="240" w:lineRule="auto"/>
              <w:rPr>
                <w:rFonts w:ascii="Times New Roman" w:eastAsia="Times New Roman" w:hAnsi="Times New Roman" w:cs="Times New Roman"/>
                <w:sz w:val="20"/>
                <w:szCs w:val="20"/>
                <w:lang w:eastAsia="en-GB"/>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1D441FA3" w14:textId="77777777" w:rsidR="009874E4" w:rsidRPr="00516320" w:rsidRDefault="009874E4" w:rsidP="00ED5154">
            <w:pPr>
              <w:spacing w:before="0" w:after="0" w:line="240" w:lineRule="auto"/>
              <w:rPr>
                <w:rFonts w:ascii="Times New Roman" w:eastAsia="Times New Roman" w:hAnsi="Times New Roman" w:cs="Times New Roman"/>
                <w:sz w:val="20"/>
                <w:szCs w:val="20"/>
                <w:lang w:eastAsia="en-GB"/>
              </w:rPr>
            </w:pPr>
          </w:p>
        </w:tc>
        <w:tc>
          <w:tcPr>
            <w:tcW w:w="7229" w:type="dxa"/>
            <w:tcBorders>
              <w:top w:val="single" w:sz="8" w:space="0" w:color="000000"/>
              <w:left w:val="single" w:sz="8" w:space="0" w:color="000000"/>
              <w:bottom w:val="single" w:sz="8" w:space="0" w:color="000000"/>
              <w:right w:val="single" w:sz="8" w:space="0" w:color="000000"/>
            </w:tcBorders>
            <w:shd w:val="clear" w:color="auto" w:fill="F5F4F7"/>
            <w:tcMar>
              <w:top w:w="15" w:type="dxa"/>
              <w:left w:w="15" w:type="dxa"/>
              <w:bottom w:w="0" w:type="dxa"/>
              <w:right w:w="15" w:type="dxa"/>
            </w:tcMar>
            <w:vAlign w:val="center"/>
          </w:tcPr>
          <w:p w14:paraId="597E63EA" w14:textId="05226F50" w:rsidR="009874E4" w:rsidRPr="00C260B1" w:rsidRDefault="009874E4" w:rsidP="00ED5154">
            <w:pPr>
              <w:spacing w:before="0" w:after="0" w:line="240" w:lineRule="auto"/>
              <w:textAlignment w:val="center"/>
              <w:rPr>
                <w:rFonts w:ascii="Arial" w:eastAsiaTheme="minorEastAsia" w:hAnsi="Arial" w:cs="Arial"/>
                <w:color w:val="000000"/>
                <w:kern w:val="24"/>
                <w:sz w:val="19"/>
                <w:szCs w:val="19"/>
                <w:lang w:eastAsia="en-GB"/>
              </w:rPr>
            </w:pPr>
            <w:r w:rsidRPr="00C260B1">
              <w:rPr>
                <w:rFonts w:eastAsiaTheme="minorEastAsia" w:hAnsi="Arial" w:cs="Arial"/>
                <w:color w:val="000000"/>
                <w:kern w:val="24"/>
                <w:sz w:val="19"/>
                <w:szCs w:val="19"/>
                <w:lang w:eastAsia="en-GB"/>
              </w:rPr>
              <w:t>Project not yet started – anticipated start date July 23'</w:t>
            </w:r>
          </w:p>
        </w:tc>
      </w:tr>
      <w:tr w:rsidR="009874E4" w:rsidRPr="00516320" w14:paraId="7762D73A" w14:textId="77777777" w:rsidTr="0035173B">
        <w:trPr>
          <w:trHeight w:val="867"/>
        </w:trPr>
        <w:tc>
          <w:tcPr>
            <w:tcW w:w="0" w:type="auto"/>
            <w:vMerge/>
            <w:tcBorders>
              <w:left w:val="single" w:sz="8" w:space="0" w:color="000000"/>
              <w:right w:val="single" w:sz="8" w:space="0" w:color="000000"/>
            </w:tcBorders>
            <w:shd w:val="clear" w:color="auto" w:fill="002060"/>
            <w:vAlign w:val="center"/>
          </w:tcPr>
          <w:p w14:paraId="0A9C82A7" w14:textId="77777777" w:rsidR="009874E4" w:rsidRPr="00516320" w:rsidRDefault="009874E4" w:rsidP="00ED5154">
            <w:pPr>
              <w:spacing w:before="0" w:after="0" w:line="240" w:lineRule="auto"/>
              <w:rPr>
                <w:rFonts w:ascii="Arial" w:eastAsia="Times New Roman" w:hAnsi="Arial" w:cs="Arial"/>
                <w:sz w:val="36"/>
                <w:szCs w:val="36"/>
                <w:lang w:eastAsia="en-GB"/>
              </w:rPr>
            </w:pPr>
          </w:p>
        </w:tc>
        <w:tc>
          <w:tcPr>
            <w:tcW w:w="2331" w:type="dxa"/>
            <w:tcBorders>
              <w:top w:val="single" w:sz="8" w:space="0" w:color="000000"/>
              <w:left w:val="single" w:sz="8" w:space="0" w:color="000000"/>
              <w:bottom w:val="single" w:sz="8" w:space="0" w:color="000000"/>
              <w:right w:val="single" w:sz="8" w:space="0" w:color="000000"/>
            </w:tcBorders>
            <w:shd w:val="clear" w:color="auto" w:fill="DDEBF7"/>
            <w:tcMar>
              <w:top w:w="15" w:type="dxa"/>
              <w:left w:w="15" w:type="dxa"/>
              <w:bottom w:w="0" w:type="dxa"/>
              <w:right w:w="15" w:type="dxa"/>
            </w:tcMar>
            <w:vAlign w:val="center"/>
          </w:tcPr>
          <w:p w14:paraId="314CFF62" w14:textId="25E7C947" w:rsidR="009874E4" w:rsidRPr="00C260B1" w:rsidRDefault="009874E4" w:rsidP="00ED5154">
            <w:pPr>
              <w:spacing w:before="0" w:after="0" w:line="240" w:lineRule="auto"/>
              <w:rPr>
                <w:rFonts w:eastAsiaTheme="minorEastAsia" w:hAnsi="Arial"/>
                <w:color w:val="000000" w:themeColor="text1"/>
                <w:kern w:val="24"/>
                <w:sz w:val="19"/>
                <w:szCs w:val="19"/>
                <w:lang w:eastAsia="en-GB"/>
              </w:rPr>
            </w:pPr>
            <w:r w:rsidRPr="00C260B1">
              <w:rPr>
                <w:rFonts w:eastAsiaTheme="minorEastAsia" w:hAnsi="Arial"/>
                <w:color w:val="000000" w:themeColor="text1"/>
                <w:kern w:val="24"/>
                <w:sz w:val="19"/>
                <w:szCs w:val="19"/>
                <w:lang w:eastAsia="en-GB"/>
              </w:rPr>
              <w:t>Start the outsource of IT</w:t>
            </w:r>
          </w:p>
        </w:tc>
        <w:tc>
          <w:tcPr>
            <w:tcW w:w="2080" w:type="dxa"/>
            <w:tcBorders>
              <w:top w:val="single" w:sz="8" w:space="0" w:color="000000"/>
              <w:left w:val="single" w:sz="8" w:space="0" w:color="000000"/>
              <w:bottom w:val="single" w:sz="8" w:space="0" w:color="000000"/>
              <w:right w:val="single" w:sz="8" w:space="0" w:color="000000"/>
            </w:tcBorders>
            <w:shd w:val="clear" w:color="auto" w:fill="DDEBF7"/>
            <w:tcMar>
              <w:top w:w="15" w:type="dxa"/>
              <w:left w:w="15" w:type="dxa"/>
              <w:bottom w:w="0" w:type="dxa"/>
              <w:right w:w="15" w:type="dxa"/>
            </w:tcMar>
            <w:vAlign w:val="center"/>
          </w:tcPr>
          <w:p w14:paraId="71EE2DB6" w14:textId="48217059" w:rsidR="009874E4" w:rsidRPr="00C260B1" w:rsidRDefault="009874E4" w:rsidP="00ED5154">
            <w:pPr>
              <w:spacing w:before="0" w:after="0" w:line="240" w:lineRule="auto"/>
              <w:textAlignment w:val="center"/>
              <w:rPr>
                <w:rFonts w:asciiTheme="majorHAnsi" w:eastAsiaTheme="minorEastAsia" w:hAnsi="Arial"/>
                <w:color w:val="000000"/>
                <w:kern w:val="24"/>
                <w:sz w:val="19"/>
                <w:szCs w:val="19"/>
                <w:lang w:eastAsia="en-GB"/>
              </w:rPr>
            </w:pPr>
            <w:r w:rsidRPr="00C260B1">
              <w:rPr>
                <w:rFonts w:eastAsiaTheme="minorEastAsia" w:hAnsi="Arial"/>
                <w:color w:val="000000" w:themeColor="text1"/>
                <w:kern w:val="24"/>
                <w:sz w:val="19"/>
                <w:szCs w:val="19"/>
                <w:lang w:eastAsia="en-GB"/>
              </w:rPr>
              <w:t>Louise Dineley</w:t>
            </w:r>
          </w:p>
        </w:tc>
        <w:tc>
          <w:tcPr>
            <w:tcW w:w="516"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tcPr>
          <w:p w14:paraId="595C9A86" w14:textId="77777777" w:rsidR="009874E4" w:rsidRPr="00516320" w:rsidRDefault="009874E4" w:rsidP="00ED5154">
            <w:pPr>
              <w:spacing w:before="0" w:after="0" w:line="240" w:lineRule="auto"/>
              <w:rPr>
                <w:rFonts w:ascii="Arial" w:eastAsia="Times New Roman" w:hAnsi="Arial" w:cs="Arial"/>
                <w:sz w:val="36"/>
                <w:szCs w:val="36"/>
                <w:lang w:eastAsia="en-GB"/>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50A0E6D0" w14:textId="77777777" w:rsidR="009874E4" w:rsidRPr="00516320" w:rsidRDefault="009874E4" w:rsidP="00ED5154">
            <w:pPr>
              <w:spacing w:before="0" w:after="0" w:line="240" w:lineRule="auto"/>
              <w:rPr>
                <w:rFonts w:ascii="Times New Roman" w:eastAsia="Times New Roman" w:hAnsi="Times New Roman" w:cs="Times New Roman"/>
                <w:sz w:val="20"/>
                <w:szCs w:val="20"/>
                <w:lang w:eastAsia="en-GB"/>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47C39520" w14:textId="77777777" w:rsidR="009874E4" w:rsidRPr="00516320" w:rsidRDefault="009874E4" w:rsidP="00ED5154">
            <w:pPr>
              <w:spacing w:before="0" w:after="0" w:line="240" w:lineRule="auto"/>
              <w:rPr>
                <w:rFonts w:ascii="Times New Roman" w:eastAsia="Times New Roman" w:hAnsi="Times New Roman" w:cs="Times New Roman"/>
                <w:sz w:val="20"/>
                <w:szCs w:val="20"/>
                <w:lang w:eastAsia="en-GB"/>
              </w:rPr>
            </w:pPr>
          </w:p>
        </w:tc>
        <w:tc>
          <w:tcPr>
            <w:tcW w:w="7229" w:type="dxa"/>
            <w:tcBorders>
              <w:top w:val="single" w:sz="8" w:space="0" w:color="000000"/>
              <w:left w:val="single" w:sz="8" w:space="0" w:color="000000"/>
              <w:bottom w:val="single" w:sz="8" w:space="0" w:color="000000"/>
              <w:right w:val="single" w:sz="8" w:space="0" w:color="000000"/>
            </w:tcBorders>
            <w:shd w:val="clear" w:color="auto" w:fill="F5F4F7"/>
            <w:tcMar>
              <w:top w:w="15" w:type="dxa"/>
              <w:left w:w="15" w:type="dxa"/>
              <w:bottom w:w="0" w:type="dxa"/>
              <w:right w:w="15" w:type="dxa"/>
            </w:tcMar>
            <w:vAlign w:val="center"/>
          </w:tcPr>
          <w:p w14:paraId="353CC51E" w14:textId="45DFF214" w:rsidR="009874E4" w:rsidRPr="00C260B1" w:rsidRDefault="009874E4" w:rsidP="00ED5154">
            <w:pPr>
              <w:spacing w:before="0" w:after="0" w:line="240" w:lineRule="auto"/>
              <w:textAlignment w:val="center"/>
              <w:rPr>
                <w:rFonts w:eastAsiaTheme="minorEastAsia" w:hAnsi="Arial" w:cs="Arial"/>
                <w:color w:val="000000"/>
                <w:kern w:val="24"/>
                <w:sz w:val="19"/>
                <w:szCs w:val="19"/>
                <w:lang w:eastAsia="en-GB"/>
              </w:rPr>
            </w:pPr>
            <w:r w:rsidRPr="00C260B1">
              <w:rPr>
                <w:rFonts w:eastAsiaTheme="minorEastAsia" w:hAnsi="Arial" w:cs="Arial"/>
                <w:color w:val="000000"/>
                <w:kern w:val="24"/>
                <w:sz w:val="19"/>
                <w:szCs w:val="19"/>
                <w:lang w:eastAsia="en-GB"/>
              </w:rPr>
              <w:t>Project not yet started – anticipated start date July 23'</w:t>
            </w:r>
          </w:p>
        </w:tc>
      </w:tr>
      <w:tr w:rsidR="009874E4" w:rsidRPr="00516320" w14:paraId="6F3DC7BC" w14:textId="77777777" w:rsidTr="0035173B">
        <w:trPr>
          <w:trHeight w:val="867"/>
        </w:trPr>
        <w:tc>
          <w:tcPr>
            <w:tcW w:w="0" w:type="auto"/>
            <w:vMerge/>
            <w:tcBorders>
              <w:left w:val="single" w:sz="8" w:space="0" w:color="000000"/>
              <w:right w:val="single" w:sz="8" w:space="0" w:color="000000"/>
            </w:tcBorders>
            <w:shd w:val="clear" w:color="auto" w:fill="002060"/>
            <w:vAlign w:val="center"/>
          </w:tcPr>
          <w:p w14:paraId="05736637" w14:textId="77777777" w:rsidR="009874E4" w:rsidRPr="00516320" w:rsidRDefault="009874E4" w:rsidP="00ED5154">
            <w:pPr>
              <w:spacing w:before="0" w:after="0" w:line="240" w:lineRule="auto"/>
              <w:rPr>
                <w:rFonts w:ascii="Arial" w:eastAsia="Times New Roman" w:hAnsi="Arial" w:cs="Arial"/>
                <w:sz w:val="36"/>
                <w:szCs w:val="36"/>
                <w:lang w:eastAsia="en-GB"/>
              </w:rPr>
            </w:pPr>
          </w:p>
        </w:tc>
        <w:tc>
          <w:tcPr>
            <w:tcW w:w="2331" w:type="dxa"/>
            <w:tcBorders>
              <w:top w:val="single" w:sz="8" w:space="0" w:color="000000"/>
              <w:left w:val="single" w:sz="8" w:space="0" w:color="000000"/>
              <w:bottom w:val="single" w:sz="8" w:space="0" w:color="000000"/>
              <w:right w:val="single" w:sz="8" w:space="0" w:color="000000"/>
            </w:tcBorders>
            <w:shd w:val="clear" w:color="auto" w:fill="DDEBF7"/>
            <w:tcMar>
              <w:top w:w="15" w:type="dxa"/>
              <w:left w:w="15" w:type="dxa"/>
              <w:bottom w:w="0" w:type="dxa"/>
              <w:right w:w="15" w:type="dxa"/>
            </w:tcMar>
            <w:vAlign w:val="center"/>
          </w:tcPr>
          <w:p w14:paraId="3724FE09" w14:textId="30246777" w:rsidR="009874E4" w:rsidRPr="00C260B1" w:rsidRDefault="009874E4" w:rsidP="00ED5154">
            <w:pPr>
              <w:spacing w:before="0" w:after="0" w:line="240" w:lineRule="auto"/>
              <w:rPr>
                <w:rFonts w:eastAsiaTheme="minorEastAsia" w:hAnsi="Arial"/>
                <w:color w:val="000000" w:themeColor="text1"/>
                <w:kern w:val="24"/>
                <w:sz w:val="19"/>
                <w:szCs w:val="19"/>
                <w:lang w:eastAsia="en-GB"/>
              </w:rPr>
            </w:pPr>
            <w:r w:rsidRPr="00C260B1">
              <w:rPr>
                <w:rFonts w:eastAsiaTheme="minorEastAsia" w:hAnsi="Arial"/>
                <w:color w:val="000000" w:themeColor="text1"/>
                <w:kern w:val="24"/>
                <w:sz w:val="19"/>
                <w:szCs w:val="19"/>
                <w:lang w:eastAsia="en-GB"/>
              </w:rPr>
              <w:t>Outsource HR</w:t>
            </w:r>
          </w:p>
        </w:tc>
        <w:tc>
          <w:tcPr>
            <w:tcW w:w="2080" w:type="dxa"/>
            <w:tcBorders>
              <w:top w:val="single" w:sz="8" w:space="0" w:color="000000"/>
              <w:left w:val="single" w:sz="8" w:space="0" w:color="000000"/>
              <w:bottom w:val="single" w:sz="8" w:space="0" w:color="000000"/>
              <w:right w:val="single" w:sz="8" w:space="0" w:color="000000"/>
            </w:tcBorders>
            <w:shd w:val="clear" w:color="auto" w:fill="DDEBF7"/>
            <w:tcMar>
              <w:top w:w="15" w:type="dxa"/>
              <w:left w:w="15" w:type="dxa"/>
              <w:bottom w:w="0" w:type="dxa"/>
              <w:right w:w="15" w:type="dxa"/>
            </w:tcMar>
            <w:vAlign w:val="center"/>
          </w:tcPr>
          <w:p w14:paraId="21325FA3" w14:textId="7FA216EB" w:rsidR="009874E4" w:rsidRPr="00C260B1" w:rsidRDefault="009874E4" w:rsidP="00ED5154">
            <w:pPr>
              <w:spacing w:before="0" w:after="0" w:line="240" w:lineRule="auto"/>
              <w:textAlignment w:val="center"/>
              <w:rPr>
                <w:rFonts w:eastAsiaTheme="minorEastAsia" w:hAnsi="Arial"/>
                <w:color w:val="000000" w:themeColor="text1"/>
                <w:kern w:val="24"/>
                <w:sz w:val="19"/>
                <w:szCs w:val="19"/>
                <w:lang w:eastAsia="en-GB"/>
              </w:rPr>
            </w:pPr>
            <w:r w:rsidRPr="00C260B1">
              <w:rPr>
                <w:rFonts w:eastAsiaTheme="minorEastAsia" w:hAnsi="Arial"/>
                <w:color w:val="000000" w:themeColor="text1"/>
                <w:kern w:val="24"/>
                <w:sz w:val="19"/>
                <w:szCs w:val="19"/>
                <w:lang w:eastAsia="en-GB"/>
              </w:rPr>
              <w:t>Richard Sydee</w:t>
            </w:r>
          </w:p>
        </w:tc>
        <w:tc>
          <w:tcPr>
            <w:tcW w:w="51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248BA4D1" w14:textId="77777777" w:rsidR="009874E4" w:rsidRPr="00516320" w:rsidRDefault="009874E4" w:rsidP="00ED5154">
            <w:pPr>
              <w:spacing w:before="0" w:after="0" w:line="240" w:lineRule="auto"/>
              <w:rPr>
                <w:rFonts w:ascii="Arial" w:eastAsia="Times New Roman" w:hAnsi="Arial" w:cs="Arial"/>
                <w:sz w:val="36"/>
                <w:szCs w:val="36"/>
                <w:lang w:eastAsia="en-GB"/>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1C3EAD09" w14:textId="77777777" w:rsidR="009874E4" w:rsidRPr="00516320" w:rsidRDefault="009874E4" w:rsidP="00ED5154">
            <w:pPr>
              <w:spacing w:before="0" w:after="0" w:line="240" w:lineRule="auto"/>
              <w:rPr>
                <w:rFonts w:ascii="Times New Roman" w:eastAsia="Times New Roman" w:hAnsi="Times New Roman" w:cs="Times New Roman"/>
                <w:sz w:val="20"/>
                <w:szCs w:val="20"/>
                <w:lang w:eastAsia="en-GB"/>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2B80F435" w14:textId="77777777" w:rsidR="009874E4" w:rsidRPr="00516320" w:rsidRDefault="009874E4" w:rsidP="00ED5154">
            <w:pPr>
              <w:spacing w:before="0" w:after="0" w:line="240" w:lineRule="auto"/>
              <w:rPr>
                <w:rFonts w:ascii="Times New Roman" w:eastAsia="Times New Roman" w:hAnsi="Times New Roman" w:cs="Times New Roman"/>
                <w:sz w:val="20"/>
                <w:szCs w:val="20"/>
                <w:lang w:eastAsia="en-GB"/>
              </w:rPr>
            </w:pPr>
          </w:p>
        </w:tc>
        <w:tc>
          <w:tcPr>
            <w:tcW w:w="7229" w:type="dxa"/>
            <w:tcBorders>
              <w:top w:val="single" w:sz="8" w:space="0" w:color="000000"/>
              <w:left w:val="single" w:sz="8" w:space="0" w:color="000000"/>
              <w:bottom w:val="single" w:sz="8" w:space="0" w:color="000000"/>
              <w:right w:val="single" w:sz="8" w:space="0" w:color="000000"/>
            </w:tcBorders>
            <w:shd w:val="clear" w:color="auto" w:fill="F5F4F7"/>
            <w:tcMar>
              <w:top w:w="15" w:type="dxa"/>
              <w:left w:w="15" w:type="dxa"/>
              <w:bottom w:w="0" w:type="dxa"/>
              <w:right w:w="15" w:type="dxa"/>
            </w:tcMar>
            <w:vAlign w:val="center"/>
          </w:tcPr>
          <w:p w14:paraId="0D25691A" w14:textId="08563BA5" w:rsidR="009874E4" w:rsidRPr="00C260B1" w:rsidRDefault="009874E4" w:rsidP="00ED5154">
            <w:pPr>
              <w:spacing w:before="0" w:after="0" w:line="240" w:lineRule="auto"/>
              <w:textAlignment w:val="center"/>
              <w:rPr>
                <w:rFonts w:eastAsiaTheme="minorEastAsia" w:hAnsi="Arial" w:cs="Arial"/>
                <w:color w:val="000000"/>
                <w:kern w:val="24"/>
                <w:sz w:val="19"/>
                <w:szCs w:val="19"/>
                <w:lang w:eastAsia="en-GB"/>
              </w:rPr>
            </w:pPr>
            <w:r w:rsidRPr="00C260B1">
              <w:rPr>
                <w:rFonts w:eastAsiaTheme="minorEastAsia" w:hAnsi="Arial" w:cs="Arial"/>
                <w:color w:val="000000"/>
                <w:kern w:val="24"/>
                <w:sz w:val="19"/>
                <w:szCs w:val="19"/>
                <w:lang w:eastAsia="en-GB"/>
              </w:rPr>
              <w:t>Project not yet started – anticipated start date July 23'</w:t>
            </w:r>
          </w:p>
        </w:tc>
      </w:tr>
      <w:tr w:rsidR="009874E4" w:rsidRPr="00516320" w14:paraId="3E19D169" w14:textId="77777777" w:rsidTr="003E1FDF">
        <w:trPr>
          <w:trHeight w:val="867"/>
        </w:trPr>
        <w:tc>
          <w:tcPr>
            <w:tcW w:w="0" w:type="auto"/>
            <w:vMerge/>
            <w:tcBorders>
              <w:left w:val="single" w:sz="8" w:space="0" w:color="000000"/>
              <w:bottom w:val="single" w:sz="8" w:space="0" w:color="000000"/>
              <w:right w:val="single" w:sz="8" w:space="0" w:color="000000"/>
            </w:tcBorders>
            <w:shd w:val="clear" w:color="auto" w:fill="002060"/>
            <w:vAlign w:val="center"/>
          </w:tcPr>
          <w:p w14:paraId="11A1C3C2" w14:textId="77777777" w:rsidR="009874E4" w:rsidRPr="00516320" w:rsidRDefault="009874E4" w:rsidP="00ED5154">
            <w:pPr>
              <w:spacing w:before="0" w:after="0" w:line="240" w:lineRule="auto"/>
              <w:rPr>
                <w:rFonts w:ascii="Arial" w:eastAsia="Times New Roman" w:hAnsi="Arial" w:cs="Arial"/>
                <w:sz w:val="36"/>
                <w:szCs w:val="36"/>
                <w:lang w:eastAsia="en-GB"/>
              </w:rPr>
            </w:pPr>
          </w:p>
        </w:tc>
        <w:tc>
          <w:tcPr>
            <w:tcW w:w="2331" w:type="dxa"/>
            <w:tcBorders>
              <w:top w:val="single" w:sz="8" w:space="0" w:color="000000"/>
              <w:left w:val="single" w:sz="8" w:space="0" w:color="000000"/>
              <w:bottom w:val="single" w:sz="8" w:space="0" w:color="000000"/>
              <w:right w:val="single" w:sz="8" w:space="0" w:color="000000"/>
            </w:tcBorders>
            <w:shd w:val="clear" w:color="auto" w:fill="DDEBF7"/>
            <w:tcMar>
              <w:top w:w="15" w:type="dxa"/>
              <w:left w:w="15" w:type="dxa"/>
              <w:bottom w:w="0" w:type="dxa"/>
              <w:right w:w="15" w:type="dxa"/>
            </w:tcMar>
            <w:vAlign w:val="center"/>
          </w:tcPr>
          <w:p w14:paraId="05DFB6F5" w14:textId="7F839184" w:rsidR="009874E4" w:rsidRPr="00C260B1" w:rsidRDefault="009874E4" w:rsidP="00ED5154">
            <w:pPr>
              <w:spacing w:before="0" w:after="0" w:line="240" w:lineRule="auto"/>
              <w:rPr>
                <w:rFonts w:eastAsiaTheme="minorEastAsia" w:hAnsi="Arial"/>
                <w:color w:val="000000" w:themeColor="text1"/>
                <w:kern w:val="24"/>
                <w:sz w:val="19"/>
                <w:szCs w:val="19"/>
                <w:lang w:eastAsia="en-GB"/>
              </w:rPr>
            </w:pPr>
            <w:r w:rsidRPr="00C260B1">
              <w:rPr>
                <w:rFonts w:asciiTheme="majorHAnsi" w:eastAsia="Times New Roman" w:hAnsi="Arial" w:cs="Arial"/>
                <w:color w:val="000000"/>
                <w:kern w:val="24"/>
                <w:sz w:val="19"/>
                <w:szCs w:val="19"/>
                <w:lang w:eastAsia="en-GB"/>
              </w:rPr>
              <w:t>Portfolio</w:t>
            </w:r>
          </w:p>
        </w:tc>
        <w:tc>
          <w:tcPr>
            <w:tcW w:w="2080" w:type="dxa"/>
            <w:tcBorders>
              <w:top w:val="single" w:sz="8" w:space="0" w:color="000000"/>
              <w:left w:val="single" w:sz="8" w:space="0" w:color="000000"/>
              <w:bottom w:val="single" w:sz="8" w:space="0" w:color="000000"/>
              <w:right w:val="single" w:sz="8" w:space="0" w:color="000000"/>
            </w:tcBorders>
            <w:shd w:val="clear" w:color="auto" w:fill="DDEBF7"/>
            <w:tcMar>
              <w:top w:w="15" w:type="dxa"/>
              <w:left w:w="15" w:type="dxa"/>
              <w:bottom w:w="0" w:type="dxa"/>
              <w:right w:w="15" w:type="dxa"/>
            </w:tcMar>
            <w:vAlign w:val="center"/>
          </w:tcPr>
          <w:p w14:paraId="727A816F" w14:textId="75727620" w:rsidR="009874E4" w:rsidRPr="00C260B1" w:rsidRDefault="009874E4" w:rsidP="00ED5154">
            <w:pPr>
              <w:spacing w:before="0" w:after="0" w:line="240" w:lineRule="auto"/>
              <w:textAlignment w:val="center"/>
              <w:rPr>
                <w:rFonts w:eastAsiaTheme="minorEastAsia" w:hAnsi="Arial"/>
                <w:color w:val="000000" w:themeColor="text1"/>
                <w:kern w:val="24"/>
                <w:sz w:val="19"/>
                <w:szCs w:val="19"/>
                <w:lang w:eastAsia="en-GB"/>
              </w:rPr>
            </w:pPr>
            <w:r w:rsidRPr="00C260B1">
              <w:rPr>
                <w:rFonts w:asciiTheme="majorHAnsi" w:eastAsia="Times New Roman" w:hAnsi="Arial" w:cs="Arial"/>
                <w:color w:val="000000"/>
                <w:kern w:val="24"/>
                <w:sz w:val="19"/>
                <w:szCs w:val="19"/>
                <w:lang w:eastAsia="en-GB"/>
              </w:rPr>
              <w:t>All SMT</w:t>
            </w:r>
          </w:p>
        </w:tc>
        <w:tc>
          <w:tcPr>
            <w:tcW w:w="516"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tcPr>
          <w:p w14:paraId="60C47483" w14:textId="77777777" w:rsidR="009874E4" w:rsidRPr="00516320" w:rsidRDefault="009874E4" w:rsidP="00ED5154">
            <w:pPr>
              <w:spacing w:before="0" w:after="0" w:line="240" w:lineRule="auto"/>
              <w:rPr>
                <w:rFonts w:ascii="Arial" w:eastAsia="Times New Roman" w:hAnsi="Arial" w:cs="Arial"/>
                <w:sz w:val="36"/>
                <w:szCs w:val="36"/>
                <w:lang w:eastAsia="en-GB"/>
              </w:rPr>
            </w:pPr>
          </w:p>
        </w:tc>
        <w:tc>
          <w:tcPr>
            <w:tcW w:w="567"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tcPr>
          <w:p w14:paraId="6BB6A2B9" w14:textId="77777777" w:rsidR="009874E4" w:rsidRPr="00516320" w:rsidRDefault="009874E4" w:rsidP="00ED5154">
            <w:pPr>
              <w:spacing w:before="0" w:after="0" w:line="240" w:lineRule="auto"/>
              <w:rPr>
                <w:rFonts w:ascii="Times New Roman" w:eastAsia="Times New Roman" w:hAnsi="Times New Roman" w:cs="Times New Roman"/>
                <w:sz w:val="20"/>
                <w:szCs w:val="20"/>
                <w:lang w:eastAsia="en-GB"/>
              </w:rPr>
            </w:pPr>
          </w:p>
        </w:tc>
        <w:tc>
          <w:tcPr>
            <w:tcW w:w="567" w:type="dxa"/>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tcPr>
          <w:p w14:paraId="588D8AF1" w14:textId="77777777" w:rsidR="009874E4" w:rsidRPr="00516320" w:rsidRDefault="009874E4" w:rsidP="00ED5154">
            <w:pPr>
              <w:spacing w:before="0" w:after="0" w:line="240" w:lineRule="auto"/>
              <w:rPr>
                <w:rFonts w:ascii="Times New Roman" w:eastAsia="Times New Roman" w:hAnsi="Times New Roman" w:cs="Times New Roman"/>
                <w:sz w:val="20"/>
                <w:szCs w:val="20"/>
                <w:lang w:eastAsia="en-GB"/>
              </w:rPr>
            </w:pPr>
          </w:p>
        </w:tc>
        <w:tc>
          <w:tcPr>
            <w:tcW w:w="7229" w:type="dxa"/>
            <w:tcBorders>
              <w:top w:val="single" w:sz="8" w:space="0" w:color="000000"/>
              <w:left w:val="single" w:sz="8" w:space="0" w:color="000000"/>
              <w:bottom w:val="single" w:sz="8" w:space="0" w:color="000000"/>
              <w:right w:val="single" w:sz="8" w:space="0" w:color="000000"/>
            </w:tcBorders>
            <w:shd w:val="clear" w:color="auto" w:fill="F5F4F7"/>
            <w:tcMar>
              <w:top w:w="15" w:type="dxa"/>
              <w:left w:w="15" w:type="dxa"/>
              <w:bottom w:w="0" w:type="dxa"/>
              <w:right w:w="15" w:type="dxa"/>
            </w:tcMar>
            <w:vAlign w:val="center"/>
          </w:tcPr>
          <w:p w14:paraId="49182394" w14:textId="432AAF86" w:rsidR="009874E4" w:rsidRPr="00C260B1" w:rsidRDefault="009874E4" w:rsidP="00ED5154">
            <w:pPr>
              <w:spacing w:before="0" w:after="0" w:line="240" w:lineRule="auto"/>
              <w:textAlignment w:val="center"/>
              <w:rPr>
                <w:rFonts w:eastAsiaTheme="minorEastAsia" w:hAnsi="Arial" w:cs="Arial"/>
                <w:color w:val="000000"/>
                <w:kern w:val="24"/>
                <w:sz w:val="19"/>
                <w:szCs w:val="19"/>
                <w:lang w:eastAsia="en-GB"/>
              </w:rPr>
            </w:pPr>
            <w:r w:rsidRPr="00C260B1">
              <w:rPr>
                <w:rFonts w:eastAsiaTheme="minorEastAsia" w:hAnsi="Arial"/>
                <w:color w:val="000000" w:themeColor="text1"/>
                <w:kern w:val="24"/>
                <w:sz w:val="19"/>
                <w:szCs w:val="19"/>
                <w:lang w:eastAsia="en-GB"/>
              </w:rPr>
              <w:t>Overall RAG status for the Portfolio remains at Amber, however, work will need to be undertaken early in Q2 if more Projects are subject to Change Control and anticipated start dates pushed further back</w:t>
            </w:r>
          </w:p>
        </w:tc>
      </w:tr>
    </w:tbl>
    <w:p w14:paraId="032B8B06" w14:textId="77777777" w:rsidR="0008572D" w:rsidRDefault="0008572D" w:rsidP="003757E8">
      <w:pPr>
        <w:pStyle w:val="NumberedlistHTA"/>
        <w:numPr>
          <w:ilvl w:val="0"/>
          <w:numId w:val="0"/>
        </w:numPr>
        <w:spacing w:after="160"/>
        <w:jc w:val="center"/>
        <w:rPr>
          <w:b/>
          <w:bCs/>
        </w:rPr>
      </w:pPr>
    </w:p>
    <w:p w14:paraId="02597191" w14:textId="6B63DC3E" w:rsidR="00CA6B14" w:rsidRDefault="00CA6B14" w:rsidP="003757E8">
      <w:pPr>
        <w:pStyle w:val="NumberedlistHTA"/>
        <w:numPr>
          <w:ilvl w:val="0"/>
          <w:numId w:val="0"/>
        </w:numPr>
        <w:spacing w:after="160"/>
        <w:jc w:val="center"/>
        <w:rPr>
          <w:b/>
          <w:bCs/>
        </w:rPr>
      </w:pPr>
    </w:p>
    <w:p w14:paraId="28FB34B7" w14:textId="4C2A6995" w:rsidR="00751EC4" w:rsidRDefault="00751EC4" w:rsidP="003757E8">
      <w:pPr>
        <w:pStyle w:val="NumberedlistHTA"/>
        <w:numPr>
          <w:ilvl w:val="0"/>
          <w:numId w:val="0"/>
        </w:numPr>
        <w:spacing w:after="160"/>
        <w:jc w:val="center"/>
        <w:rPr>
          <w:b/>
          <w:bCs/>
        </w:rPr>
      </w:pPr>
    </w:p>
    <w:p w14:paraId="6E0BE698" w14:textId="77777777" w:rsidR="009874E4" w:rsidRDefault="009874E4" w:rsidP="003757E8">
      <w:pPr>
        <w:pStyle w:val="NumberedlistHTA"/>
        <w:numPr>
          <w:ilvl w:val="0"/>
          <w:numId w:val="0"/>
        </w:numPr>
        <w:spacing w:after="160"/>
        <w:jc w:val="center"/>
        <w:rPr>
          <w:b/>
          <w:bCs/>
        </w:rPr>
      </w:pPr>
    </w:p>
    <w:p w14:paraId="5018BD81" w14:textId="77777777" w:rsidR="009874E4" w:rsidRDefault="009874E4" w:rsidP="003757E8">
      <w:pPr>
        <w:pStyle w:val="NumberedlistHTA"/>
        <w:numPr>
          <w:ilvl w:val="0"/>
          <w:numId w:val="0"/>
        </w:numPr>
        <w:spacing w:after="160"/>
        <w:jc w:val="center"/>
        <w:rPr>
          <w:b/>
          <w:bCs/>
        </w:rPr>
      </w:pPr>
    </w:p>
    <w:p w14:paraId="70E85AFF" w14:textId="77777777" w:rsidR="009874E4" w:rsidRDefault="009874E4" w:rsidP="003757E8">
      <w:pPr>
        <w:pStyle w:val="NumberedlistHTA"/>
        <w:numPr>
          <w:ilvl w:val="0"/>
          <w:numId w:val="0"/>
        </w:numPr>
        <w:spacing w:after="160"/>
        <w:jc w:val="center"/>
        <w:rPr>
          <w:b/>
          <w:bCs/>
        </w:rPr>
      </w:pPr>
    </w:p>
    <w:p w14:paraId="6E3C0B62" w14:textId="77777777" w:rsidR="009874E4" w:rsidRDefault="009874E4" w:rsidP="003757E8">
      <w:pPr>
        <w:pStyle w:val="NumberedlistHTA"/>
        <w:numPr>
          <w:ilvl w:val="0"/>
          <w:numId w:val="0"/>
        </w:numPr>
        <w:spacing w:after="160"/>
        <w:jc w:val="center"/>
        <w:rPr>
          <w:b/>
          <w:bCs/>
        </w:rPr>
      </w:pPr>
    </w:p>
    <w:p w14:paraId="254FD3D5" w14:textId="77777777" w:rsidR="009874E4" w:rsidRDefault="009874E4" w:rsidP="003757E8">
      <w:pPr>
        <w:pStyle w:val="NumberedlistHTA"/>
        <w:numPr>
          <w:ilvl w:val="0"/>
          <w:numId w:val="0"/>
        </w:numPr>
        <w:spacing w:after="160"/>
        <w:jc w:val="center"/>
        <w:rPr>
          <w:b/>
          <w:bCs/>
        </w:rPr>
      </w:pPr>
    </w:p>
    <w:p w14:paraId="419850BD" w14:textId="77777777" w:rsidR="009874E4" w:rsidRDefault="009874E4" w:rsidP="003757E8">
      <w:pPr>
        <w:pStyle w:val="NumberedlistHTA"/>
        <w:numPr>
          <w:ilvl w:val="0"/>
          <w:numId w:val="0"/>
        </w:numPr>
        <w:spacing w:after="160"/>
        <w:jc w:val="center"/>
        <w:rPr>
          <w:b/>
          <w:bCs/>
        </w:rPr>
      </w:pPr>
    </w:p>
    <w:p w14:paraId="002B01BE" w14:textId="1EB017EC" w:rsidR="00F04D6A" w:rsidRDefault="00F04D6A" w:rsidP="003757E8">
      <w:pPr>
        <w:pStyle w:val="NumberedlistHTA"/>
        <w:numPr>
          <w:ilvl w:val="0"/>
          <w:numId w:val="0"/>
        </w:numPr>
        <w:spacing w:after="160"/>
        <w:jc w:val="center"/>
        <w:rPr>
          <w:b/>
          <w:bCs/>
        </w:rPr>
      </w:pPr>
    </w:p>
    <w:tbl>
      <w:tblPr>
        <w:tblW w:w="13691" w:type="dxa"/>
        <w:tblInd w:w="-5" w:type="dxa"/>
        <w:tblBorders>
          <w:top w:val="single" w:sz="4" w:space="0" w:color="A6A6A6"/>
          <w:left w:val="single" w:sz="4" w:space="0" w:color="A6A6A6"/>
          <w:bottom w:val="single" w:sz="4" w:space="0" w:color="A6A6A6"/>
          <w:right w:val="single" w:sz="4" w:space="0" w:color="A6A6A6"/>
        </w:tblBorders>
        <w:tblCellMar>
          <w:left w:w="0" w:type="dxa"/>
          <w:right w:w="0" w:type="dxa"/>
        </w:tblCellMar>
        <w:tblLook w:val="0600" w:firstRow="0" w:lastRow="0" w:firstColumn="0" w:lastColumn="0" w:noHBand="1" w:noVBand="1"/>
      </w:tblPr>
      <w:tblGrid>
        <w:gridCol w:w="3459"/>
        <w:gridCol w:w="3480"/>
        <w:gridCol w:w="3462"/>
        <w:gridCol w:w="3290"/>
      </w:tblGrid>
      <w:tr w:rsidR="00952E76" w:rsidRPr="00952E76" w14:paraId="5874C9C8" w14:textId="7E548914" w:rsidTr="000D6972">
        <w:trPr>
          <w:trHeight w:val="454"/>
        </w:trPr>
        <w:tc>
          <w:tcPr>
            <w:tcW w:w="3459" w:type="dxa"/>
            <w:tcBorders>
              <w:top w:val="single" w:sz="4" w:space="0" w:color="A6A6A6"/>
              <w:bottom w:val="single" w:sz="4" w:space="0" w:color="A6A6A6"/>
            </w:tcBorders>
            <w:shd w:val="clear" w:color="auto" w:fill="FF0000"/>
            <w:tcMar>
              <w:top w:w="72" w:type="dxa"/>
              <w:left w:w="72" w:type="dxa"/>
              <w:bottom w:w="72" w:type="dxa"/>
              <w:right w:w="72" w:type="dxa"/>
            </w:tcMar>
            <w:vAlign w:val="center"/>
            <w:hideMark/>
          </w:tcPr>
          <w:p w14:paraId="574241FD" w14:textId="77777777" w:rsidR="00952E76" w:rsidRPr="00DA515F" w:rsidRDefault="00952E76" w:rsidP="00952E76">
            <w:pPr>
              <w:spacing w:before="0" w:after="0" w:line="240" w:lineRule="auto"/>
              <w:jc w:val="center"/>
              <w:textAlignment w:val="center"/>
              <w:rPr>
                <w:rFonts w:ascii="Arial" w:eastAsia="Times New Roman" w:hAnsi="Arial" w:cs="Arial"/>
                <w:sz w:val="24"/>
                <w:szCs w:val="24"/>
                <w:lang w:eastAsia="en-GB"/>
              </w:rPr>
            </w:pPr>
            <w:r w:rsidRPr="00DA515F">
              <w:rPr>
                <w:rFonts w:ascii="Arial" w:eastAsia="Times New Roman" w:hAnsi="Arial" w:cs="Arial"/>
                <w:b/>
                <w:bCs/>
                <w:color w:val="FFFFFF"/>
                <w:kern w:val="24"/>
                <w:sz w:val="24"/>
                <w:szCs w:val="24"/>
                <w:lang w:eastAsia="en-GB"/>
              </w:rPr>
              <w:t>Red</w:t>
            </w:r>
          </w:p>
        </w:tc>
        <w:tc>
          <w:tcPr>
            <w:tcW w:w="3480" w:type="dxa"/>
            <w:tcBorders>
              <w:top w:val="single" w:sz="4" w:space="0" w:color="A6A6A6"/>
              <w:bottom w:val="single" w:sz="4" w:space="0" w:color="A6A6A6"/>
            </w:tcBorders>
            <w:shd w:val="clear" w:color="auto" w:fill="FFC000"/>
            <w:tcMar>
              <w:top w:w="72" w:type="dxa"/>
              <w:left w:w="72" w:type="dxa"/>
              <w:bottom w:w="72" w:type="dxa"/>
              <w:right w:w="72" w:type="dxa"/>
            </w:tcMar>
            <w:vAlign w:val="center"/>
            <w:hideMark/>
          </w:tcPr>
          <w:p w14:paraId="23EA73EF" w14:textId="77777777" w:rsidR="00952E76" w:rsidRPr="00DA515F" w:rsidRDefault="00952E76" w:rsidP="00952E76">
            <w:pPr>
              <w:spacing w:before="0" w:after="0" w:line="240" w:lineRule="auto"/>
              <w:jc w:val="center"/>
              <w:textAlignment w:val="center"/>
              <w:rPr>
                <w:rFonts w:ascii="Arial" w:eastAsia="Times New Roman" w:hAnsi="Arial" w:cs="Arial"/>
                <w:sz w:val="24"/>
                <w:szCs w:val="24"/>
                <w:lang w:eastAsia="en-GB"/>
              </w:rPr>
            </w:pPr>
            <w:r w:rsidRPr="00DA515F">
              <w:rPr>
                <w:rFonts w:ascii="Arial" w:eastAsia="Times New Roman" w:hAnsi="Arial" w:cs="Arial"/>
                <w:b/>
                <w:bCs/>
                <w:color w:val="FFFFFF"/>
                <w:kern w:val="24"/>
                <w:sz w:val="24"/>
                <w:szCs w:val="24"/>
                <w:lang w:eastAsia="en-GB"/>
              </w:rPr>
              <w:t>Amber</w:t>
            </w:r>
          </w:p>
        </w:tc>
        <w:tc>
          <w:tcPr>
            <w:tcW w:w="3462" w:type="dxa"/>
            <w:tcBorders>
              <w:top w:val="single" w:sz="4" w:space="0" w:color="A6A6A6"/>
              <w:bottom w:val="single" w:sz="4" w:space="0" w:color="A6A6A6"/>
            </w:tcBorders>
            <w:shd w:val="clear" w:color="auto" w:fill="00B050"/>
            <w:tcMar>
              <w:top w:w="72" w:type="dxa"/>
              <w:left w:w="72" w:type="dxa"/>
              <w:bottom w:w="72" w:type="dxa"/>
              <w:right w:w="72" w:type="dxa"/>
            </w:tcMar>
            <w:vAlign w:val="center"/>
            <w:hideMark/>
          </w:tcPr>
          <w:p w14:paraId="746E5650" w14:textId="77777777" w:rsidR="00952E76" w:rsidRPr="00DA515F" w:rsidRDefault="00952E76" w:rsidP="00952E76">
            <w:pPr>
              <w:spacing w:before="0" w:after="0" w:line="240" w:lineRule="auto"/>
              <w:jc w:val="center"/>
              <w:textAlignment w:val="center"/>
              <w:rPr>
                <w:rFonts w:ascii="Arial" w:eastAsia="Times New Roman" w:hAnsi="Arial" w:cs="Arial"/>
                <w:sz w:val="24"/>
                <w:szCs w:val="24"/>
                <w:lang w:eastAsia="en-GB"/>
              </w:rPr>
            </w:pPr>
            <w:r w:rsidRPr="00DA515F">
              <w:rPr>
                <w:rFonts w:ascii="Arial" w:eastAsia="Times New Roman" w:hAnsi="Arial" w:cs="Arial"/>
                <w:b/>
                <w:bCs/>
                <w:color w:val="FFFFFF"/>
                <w:kern w:val="24"/>
                <w:sz w:val="24"/>
                <w:szCs w:val="24"/>
                <w:lang w:eastAsia="en-GB"/>
              </w:rPr>
              <w:t>Green</w:t>
            </w:r>
          </w:p>
        </w:tc>
        <w:tc>
          <w:tcPr>
            <w:tcW w:w="3290" w:type="dxa"/>
            <w:tcBorders>
              <w:top w:val="single" w:sz="4" w:space="0" w:color="A6A6A6"/>
              <w:bottom w:val="single" w:sz="4" w:space="0" w:color="A6A6A6"/>
            </w:tcBorders>
            <w:shd w:val="clear" w:color="auto" w:fill="FFFFFF" w:themeFill="accent6"/>
            <w:vAlign w:val="center"/>
          </w:tcPr>
          <w:p w14:paraId="4DF775DA" w14:textId="66D4D159" w:rsidR="00952E76" w:rsidRPr="00DA515F" w:rsidRDefault="00952E76" w:rsidP="00952E76">
            <w:pPr>
              <w:spacing w:before="0" w:after="0" w:line="240" w:lineRule="auto"/>
              <w:jc w:val="center"/>
              <w:textAlignment w:val="center"/>
              <w:rPr>
                <w:rFonts w:ascii="Arial" w:eastAsia="Times New Roman" w:hAnsi="Arial" w:cs="Arial"/>
                <w:b/>
                <w:bCs/>
                <w:color w:val="FFFFFF"/>
                <w:kern w:val="24"/>
                <w:sz w:val="24"/>
                <w:szCs w:val="24"/>
                <w:lang w:eastAsia="en-GB"/>
              </w:rPr>
            </w:pPr>
            <w:r w:rsidRPr="00DA515F">
              <w:rPr>
                <w:rFonts w:ascii="Arial" w:eastAsia="Times New Roman" w:hAnsi="Arial" w:cs="Arial"/>
                <w:b/>
                <w:bCs/>
                <w:kern w:val="24"/>
                <w:sz w:val="24"/>
                <w:szCs w:val="24"/>
                <w:lang w:eastAsia="en-GB"/>
              </w:rPr>
              <w:t>White</w:t>
            </w:r>
          </w:p>
        </w:tc>
      </w:tr>
      <w:tr w:rsidR="00952E76" w:rsidRPr="00952E76" w14:paraId="443A7D73" w14:textId="454C593A" w:rsidTr="000D6972">
        <w:trPr>
          <w:trHeight w:val="2311"/>
        </w:trPr>
        <w:tc>
          <w:tcPr>
            <w:tcW w:w="3459" w:type="dxa"/>
            <w:tcBorders>
              <w:top w:val="single" w:sz="4" w:space="0" w:color="A6A6A6"/>
            </w:tcBorders>
            <w:shd w:val="clear" w:color="auto" w:fill="FFC7CE"/>
            <w:tcMar>
              <w:top w:w="72" w:type="dxa"/>
              <w:left w:w="72" w:type="dxa"/>
              <w:bottom w:w="72" w:type="dxa"/>
              <w:right w:w="72" w:type="dxa"/>
            </w:tcMar>
            <w:hideMark/>
          </w:tcPr>
          <w:p w14:paraId="781EF2BC" w14:textId="77777777" w:rsidR="00952E76" w:rsidRPr="00DA515F" w:rsidRDefault="00952E76" w:rsidP="003C1242">
            <w:pPr>
              <w:numPr>
                <w:ilvl w:val="0"/>
                <w:numId w:val="5"/>
              </w:numPr>
              <w:tabs>
                <w:tab w:val="clear" w:pos="720"/>
              </w:tabs>
              <w:spacing w:before="0" w:after="0" w:line="240" w:lineRule="auto"/>
              <w:ind w:left="492"/>
              <w:contextualSpacing/>
              <w:textAlignment w:val="top"/>
              <w:rPr>
                <w:rFonts w:ascii="Arial" w:eastAsia="Times New Roman" w:hAnsi="Arial" w:cs="Arial"/>
                <w:sz w:val="24"/>
                <w:szCs w:val="24"/>
                <w:lang w:eastAsia="en-GB"/>
              </w:rPr>
            </w:pPr>
            <w:r w:rsidRPr="00DA515F">
              <w:rPr>
                <w:rFonts w:ascii="Arial" w:eastAsia="Times New Roman" w:hAnsi="Arial" w:cs="Arial"/>
                <w:b/>
                <w:bCs/>
                <w:color w:val="000000"/>
                <w:kern w:val="24"/>
                <w:sz w:val="24"/>
                <w:szCs w:val="24"/>
                <w:lang w:eastAsia="en-GB"/>
              </w:rPr>
              <w:t xml:space="preserve">Headline: </w:t>
            </w:r>
            <w:r w:rsidRPr="00DA515F">
              <w:rPr>
                <w:rFonts w:ascii="Arial" w:eastAsia="Times New Roman" w:hAnsi="Arial" w:cs="Arial"/>
                <w:color w:val="000000"/>
                <w:kern w:val="24"/>
                <w:sz w:val="24"/>
                <w:szCs w:val="24"/>
                <w:lang w:eastAsia="en-GB"/>
              </w:rPr>
              <w:t>There is significant risk that the overall Activity will be delivered late or will fail to deliver everything within scope against the agreed baseline plan.</w:t>
            </w:r>
          </w:p>
          <w:p w14:paraId="565320D7" w14:textId="3D453E68" w:rsidR="00952E76" w:rsidRPr="00DA515F" w:rsidRDefault="00952E76" w:rsidP="00952E76">
            <w:pPr>
              <w:spacing w:before="0" w:after="0" w:line="240" w:lineRule="auto"/>
              <w:ind w:left="994"/>
              <w:contextualSpacing/>
              <w:textAlignment w:val="top"/>
              <w:rPr>
                <w:rFonts w:ascii="Arial" w:eastAsia="Times New Roman" w:hAnsi="Arial" w:cs="Arial"/>
                <w:sz w:val="24"/>
                <w:szCs w:val="24"/>
                <w:lang w:eastAsia="en-GB"/>
              </w:rPr>
            </w:pPr>
          </w:p>
        </w:tc>
        <w:tc>
          <w:tcPr>
            <w:tcW w:w="3480" w:type="dxa"/>
            <w:tcBorders>
              <w:top w:val="single" w:sz="4" w:space="0" w:color="A6A6A6"/>
            </w:tcBorders>
            <w:shd w:val="clear" w:color="auto" w:fill="FFE699"/>
            <w:tcMar>
              <w:top w:w="72" w:type="dxa"/>
              <w:left w:w="72" w:type="dxa"/>
              <w:bottom w:w="72" w:type="dxa"/>
              <w:right w:w="72" w:type="dxa"/>
            </w:tcMar>
            <w:hideMark/>
          </w:tcPr>
          <w:p w14:paraId="4E1FAC66" w14:textId="77777777" w:rsidR="00952E76" w:rsidRPr="00DA515F" w:rsidRDefault="00952E76" w:rsidP="003C1242">
            <w:pPr>
              <w:numPr>
                <w:ilvl w:val="0"/>
                <w:numId w:val="5"/>
              </w:numPr>
              <w:tabs>
                <w:tab w:val="clear" w:pos="720"/>
              </w:tabs>
              <w:spacing w:before="0" w:after="0" w:line="240" w:lineRule="auto"/>
              <w:ind w:left="438"/>
              <w:contextualSpacing/>
              <w:textAlignment w:val="top"/>
              <w:rPr>
                <w:rFonts w:ascii="Arial" w:eastAsia="Times New Roman" w:hAnsi="Arial" w:cs="Arial"/>
                <w:sz w:val="24"/>
                <w:szCs w:val="24"/>
                <w:lang w:eastAsia="en-GB"/>
              </w:rPr>
            </w:pPr>
            <w:r w:rsidRPr="00DA515F">
              <w:rPr>
                <w:rFonts w:ascii="Arial" w:eastAsia="Times New Roman" w:hAnsi="Arial" w:cs="Arial"/>
                <w:b/>
                <w:bCs/>
                <w:color w:val="000000"/>
                <w:kern w:val="24"/>
                <w:sz w:val="24"/>
                <w:szCs w:val="24"/>
                <w:lang w:eastAsia="en-GB"/>
              </w:rPr>
              <w:t xml:space="preserve">Headline: </w:t>
            </w:r>
            <w:r w:rsidRPr="00DA515F">
              <w:rPr>
                <w:rFonts w:ascii="Arial" w:eastAsia="Times New Roman" w:hAnsi="Arial" w:cs="Arial"/>
                <w:color w:val="000000"/>
                <w:kern w:val="24"/>
                <w:sz w:val="24"/>
                <w:szCs w:val="24"/>
                <w:lang w:eastAsia="en-GB"/>
              </w:rPr>
              <w:t>There is a risk that one or more milestones may be late, or that the full scope will not be delivered. However, there is a good possibility of implementing mitigations to bring the plan back on track to meet the schedule and delivery as planned.</w:t>
            </w:r>
          </w:p>
          <w:p w14:paraId="3025AC28" w14:textId="2477FF70" w:rsidR="00952E76" w:rsidRPr="00DA515F" w:rsidRDefault="00952E76" w:rsidP="00952E76">
            <w:pPr>
              <w:spacing w:before="0" w:after="0" w:line="240" w:lineRule="auto"/>
              <w:ind w:left="994"/>
              <w:contextualSpacing/>
              <w:textAlignment w:val="top"/>
              <w:rPr>
                <w:rFonts w:ascii="Arial" w:eastAsia="Times New Roman" w:hAnsi="Arial" w:cs="Arial"/>
                <w:sz w:val="24"/>
                <w:szCs w:val="24"/>
                <w:lang w:eastAsia="en-GB"/>
              </w:rPr>
            </w:pPr>
          </w:p>
        </w:tc>
        <w:tc>
          <w:tcPr>
            <w:tcW w:w="3462" w:type="dxa"/>
            <w:tcBorders>
              <w:top w:val="single" w:sz="4" w:space="0" w:color="A6A6A6"/>
            </w:tcBorders>
            <w:shd w:val="clear" w:color="auto" w:fill="C6EFCE"/>
            <w:tcMar>
              <w:top w:w="72" w:type="dxa"/>
              <w:left w:w="72" w:type="dxa"/>
              <w:bottom w:w="72" w:type="dxa"/>
              <w:right w:w="72" w:type="dxa"/>
            </w:tcMar>
            <w:hideMark/>
          </w:tcPr>
          <w:p w14:paraId="304A51F9" w14:textId="77777777" w:rsidR="00952E76" w:rsidRPr="00DA515F" w:rsidRDefault="00952E76" w:rsidP="003C1242">
            <w:pPr>
              <w:numPr>
                <w:ilvl w:val="0"/>
                <w:numId w:val="5"/>
              </w:numPr>
              <w:tabs>
                <w:tab w:val="clear" w:pos="720"/>
              </w:tabs>
              <w:spacing w:before="0" w:after="0" w:line="240" w:lineRule="auto"/>
              <w:ind w:left="501"/>
              <w:contextualSpacing/>
              <w:textAlignment w:val="top"/>
              <w:rPr>
                <w:rFonts w:ascii="Arial" w:eastAsia="Times New Roman" w:hAnsi="Arial" w:cs="Arial"/>
                <w:sz w:val="24"/>
                <w:szCs w:val="24"/>
                <w:lang w:eastAsia="en-GB"/>
              </w:rPr>
            </w:pPr>
            <w:r w:rsidRPr="00DA515F">
              <w:rPr>
                <w:rFonts w:ascii="Arial" w:eastAsia="Times New Roman" w:hAnsi="Arial" w:cs="Arial"/>
                <w:b/>
                <w:bCs/>
                <w:color w:val="000000"/>
                <w:kern w:val="24"/>
                <w:sz w:val="24"/>
                <w:szCs w:val="24"/>
                <w:lang w:eastAsia="en-GB"/>
              </w:rPr>
              <w:t xml:space="preserve">Headline: </w:t>
            </w:r>
            <w:r w:rsidRPr="00DA515F">
              <w:rPr>
                <w:rFonts w:ascii="Arial" w:eastAsia="Times New Roman" w:hAnsi="Arial" w:cs="Arial"/>
                <w:color w:val="000000"/>
                <w:kern w:val="24"/>
                <w:sz w:val="24"/>
                <w:szCs w:val="24"/>
                <w:lang w:eastAsia="en-GB"/>
              </w:rPr>
              <w:t>Overall Activity is on track to be delivered against the baseline plan and there is no or minimal risk of milestones being delivered late.</w:t>
            </w:r>
          </w:p>
          <w:p w14:paraId="2E379653" w14:textId="2A8F357E" w:rsidR="00952E76" w:rsidRPr="00DA515F" w:rsidRDefault="00952E76" w:rsidP="00952E76">
            <w:pPr>
              <w:spacing w:before="0" w:after="0" w:line="240" w:lineRule="auto"/>
              <w:ind w:left="994"/>
              <w:contextualSpacing/>
              <w:textAlignment w:val="top"/>
              <w:rPr>
                <w:rFonts w:ascii="Arial" w:eastAsia="Times New Roman" w:hAnsi="Arial" w:cs="Arial"/>
                <w:sz w:val="24"/>
                <w:szCs w:val="24"/>
                <w:lang w:eastAsia="en-GB"/>
              </w:rPr>
            </w:pPr>
          </w:p>
        </w:tc>
        <w:tc>
          <w:tcPr>
            <w:tcW w:w="3290" w:type="dxa"/>
            <w:tcBorders>
              <w:top w:val="single" w:sz="4" w:space="0" w:color="A6A6A6"/>
            </w:tcBorders>
            <w:shd w:val="clear" w:color="auto" w:fill="FFFFFF" w:themeFill="accent6"/>
          </w:tcPr>
          <w:p w14:paraId="4C33DD9A" w14:textId="2E9B5927" w:rsidR="00952E76" w:rsidRPr="00DA515F" w:rsidRDefault="00952E76" w:rsidP="003C1242">
            <w:pPr>
              <w:numPr>
                <w:ilvl w:val="0"/>
                <w:numId w:val="5"/>
              </w:numPr>
              <w:tabs>
                <w:tab w:val="clear" w:pos="720"/>
              </w:tabs>
              <w:spacing w:before="0" w:after="0" w:line="240" w:lineRule="auto"/>
              <w:ind w:left="651"/>
              <w:contextualSpacing/>
              <w:textAlignment w:val="top"/>
              <w:rPr>
                <w:rFonts w:ascii="Arial" w:eastAsia="Times New Roman" w:hAnsi="Arial" w:cs="Arial"/>
                <w:sz w:val="24"/>
                <w:szCs w:val="24"/>
                <w:lang w:eastAsia="en-GB"/>
              </w:rPr>
            </w:pPr>
            <w:r w:rsidRPr="00DA515F">
              <w:rPr>
                <w:rFonts w:ascii="Arial" w:eastAsia="Times New Roman" w:hAnsi="Arial" w:cs="Arial"/>
                <w:b/>
                <w:bCs/>
                <w:color w:val="000000"/>
                <w:kern w:val="24"/>
                <w:sz w:val="24"/>
                <w:szCs w:val="24"/>
                <w:lang w:eastAsia="en-GB"/>
              </w:rPr>
              <w:t xml:space="preserve">Headline: </w:t>
            </w:r>
            <w:r w:rsidR="000D6972" w:rsidRPr="00DA515F">
              <w:rPr>
                <w:rFonts w:ascii="Arial" w:eastAsia="Times New Roman" w:hAnsi="Arial" w:cs="Arial"/>
                <w:color w:val="000000"/>
                <w:kern w:val="24"/>
                <w:sz w:val="24"/>
                <w:szCs w:val="24"/>
                <w:lang w:eastAsia="en-GB"/>
              </w:rPr>
              <w:t>Activity not live</w:t>
            </w:r>
          </w:p>
          <w:p w14:paraId="410E6857" w14:textId="77777777" w:rsidR="00952E76" w:rsidRPr="00DA515F" w:rsidRDefault="00952E76" w:rsidP="000D6972">
            <w:pPr>
              <w:spacing w:before="0" w:after="0" w:line="240" w:lineRule="auto"/>
              <w:ind w:left="994"/>
              <w:contextualSpacing/>
              <w:textAlignment w:val="top"/>
              <w:rPr>
                <w:rFonts w:ascii="Arial" w:eastAsia="Times New Roman" w:hAnsi="Arial" w:cs="Arial"/>
                <w:b/>
                <w:bCs/>
                <w:color w:val="000000"/>
                <w:kern w:val="24"/>
                <w:sz w:val="24"/>
                <w:szCs w:val="24"/>
                <w:lang w:eastAsia="en-GB"/>
              </w:rPr>
            </w:pPr>
          </w:p>
        </w:tc>
      </w:tr>
    </w:tbl>
    <w:p w14:paraId="73547F4E" w14:textId="77777777" w:rsidR="00952E76" w:rsidRDefault="00952E76" w:rsidP="003757E8">
      <w:pPr>
        <w:pStyle w:val="NumberedlistHTA"/>
        <w:numPr>
          <w:ilvl w:val="0"/>
          <w:numId w:val="0"/>
        </w:numPr>
        <w:spacing w:after="160"/>
        <w:jc w:val="center"/>
        <w:rPr>
          <w:b/>
          <w:bCs/>
        </w:rPr>
      </w:pPr>
    </w:p>
    <w:p w14:paraId="086B89F2" w14:textId="77777777" w:rsidR="00952E76" w:rsidRDefault="00952E76" w:rsidP="003757E8">
      <w:pPr>
        <w:pStyle w:val="NumberedlistHTA"/>
        <w:numPr>
          <w:ilvl w:val="0"/>
          <w:numId w:val="0"/>
        </w:numPr>
        <w:spacing w:after="160"/>
        <w:jc w:val="center"/>
        <w:rPr>
          <w:b/>
          <w:bCs/>
        </w:rPr>
      </w:pPr>
    </w:p>
    <w:p w14:paraId="7A42618E" w14:textId="77777777" w:rsidR="00952E76" w:rsidRDefault="00952E76" w:rsidP="003757E8">
      <w:pPr>
        <w:pStyle w:val="NumberedlistHTA"/>
        <w:numPr>
          <w:ilvl w:val="0"/>
          <w:numId w:val="0"/>
        </w:numPr>
        <w:spacing w:after="160"/>
        <w:jc w:val="center"/>
        <w:rPr>
          <w:b/>
          <w:bCs/>
        </w:rPr>
      </w:pPr>
    </w:p>
    <w:p w14:paraId="03331649" w14:textId="2EF28593" w:rsidR="00AF28B5" w:rsidRPr="006A1009" w:rsidRDefault="00AF28B5" w:rsidP="003757E8">
      <w:pPr>
        <w:pStyle w:val="NumberedlistHTA"/>
        <w:numPr>
          <w:ilvl w:val="0"/>
          <w:numId w:val="0"/>
        </w:numPr>
        <w:spacing w:after="160"/>
        <w:jc w:val="center"/>
        <w:rPr>
          <w:b/>
          <w:bCs/>
        </w:rPr>
        <w:sectPr w:rsidR="00AF28B5" w:rsidRPr="006A1009" w:rsidSect="00B43974">
          <w:type w:val="continuous"/>
          <w:pgSz w:w="16838" w:h="11906" w:orient="landscape"/>
          <w:pgMar w:top="1440" w:right="1701" w:bottom="567" w:left="1440" w:header="567" w:footer="329" w:gutter="0"/>
          <w:cols w:space="708"/>
          <w:docGrid w:linePitch="360"/>
        </w:sectPr>
      </w:pPr>
    </w:p>
    <w:p w14:paraId="0AA80025" w14:textId="77777777" w:rsidR="00653D33" w:rsidRDefault="00653D33" w:rsidP="002A4AF2">
      <w:pPr>
        <w:pStyle w:val="NumberedlistHTA"/>
        <w:numPr>
          <w:ilvl w:val="0"/>
          <w:numId w:val="0"/>
        </w:numPr>
        <w:spacing w:after="160"/>
        <w:rPr>
          <w:b/>
          <w:lang w:val="sv-SE"/>
        </w:rPr>
        <w:sectPr w:rsidR="00653D33" w:rsidSect="000837C0">
          <w:footerReference w:type="default" r:id="rId17"/>
          <w:headerReference w:type="first" r:id="rId18"/>
          <w:pgSz w:w="11906" w:h="16838"/>
          <w:pgMar w:top="1701" w:right="1440" w:bottom="1440" w:left="1440" w:header="567" w:footer="329" w:gutter="0"/>
          <w:cols w:space="708"/>
          <w:docGrid w:linePitch="360"/>
        </w:sectPr>
      </w:pPr>
    </w:p>
    <w:p w14:paraId="21F61137" w14:textId="507D0B33" w:rsidR="00D03D0B" w:rsidRPr="002A4AF2" w:rsidRDefault="0068476E" w:rsidP="002A4AF2">
      <w:pPr>
        <w:pStyle w:val="NumberedlistHTA"/>
        <w:numPr>
          <w:ilvl w:val="0"/>
          <w:numId w:val="0"/>
        </w:numPr>
        <w:spacing w:after="160"/>
        <w:rPr>
          <w:lang w:val="sv-SE"/>
        </w:rPr>
      </w:pPr>
      <w:r w:rsidRPr="002A4AF2">
        <w:rPr>
          <w:b/>
          <w:lang w:val="sv-SE"/>
        </w:rPr>
        <w:t xml:space="preserve">Annex </w:t>
      </w:r>
      <w:r w:rsidR="00A437C9" w:rsidRPr="002A4AF2">
        <w:rPr>
          <w:b/>
          <w:lang w:val="sv-SE"/>
        </w:rPr>
        <w:t>C</w:t>
      </w:r>
      <w:r w:rsidR="00466825" w:rsidRPr="002A4AF2">
        <w:rPr>
          <w:lang w:val="sv-SE"/>
        </w:rPr>
        <w:t xml:space="preserve"> </w:t>
      </w:r>
    </w:p>
    <w:p w14:paraId="3DB528AB" w14:textId="77777777" w:rsidR="002D37D6" w:rsidRPr="002A4AF2" w:rsidRDefault="002D37D6" w:rsidP="002D37D6">
      <w:pPr>
        <w:pStyle w:val="Heading2"/>
        <w:tabs>
          <w:tab w:val="left" w:pos="1635"/>
        </w:tabs>
        <w:spacing w:after="0"/>
        <w:rPr>
          <w:lang w:val="sv-SE"/>
        </w:rPr>
      </w:pPr>
      <w:r w:rsidRPr="002A4AF2">
        <w:rPr>
          <w:lang w:val="sv-SE"/>
        </w:rPr>
        <w:tab/>
      </w:r>
    </w:p>
    <w:p w14:paraId="69E60149" w14:textId="77777777" w:rsidR="002D37D6" w:rsidRPr="002A4AF2" w:rsidRDefault="002D37D6" w:rsidP="002D37D6">
      <w:pPr>
        <w:pStyle w:val="Heading5"/>
        <w:framePr w:wrap="around"/>
        <w:pBdr>
          <w:top w:val="single" w:sz="36" w:space="1" w:color="auto"/>
        </w:pBdr>
        <w:spacing w:after="0"/>
        <w:rPr>
          <w:lang w:val="sv-SE"/>
        </w:rPr>
      </w:pPr>
      <w:r w:rsidRPr="003C1242">
        <w:t>Strategic</w:t>
      </w:r>
      <w:r w:rsidRPr="002A4AF2">
        <w:rPr>
          <w:lang w:val="sv-SE"/>
        </w:rPr>
        <w:t xml:space="preserve"> risk register 2023/24</w:t>
      </w:r>
    </w:p>
    <w:p w14:paraId="37CC2D34" w14:textId="77777777" w:rsidR="002D37D6" w:rsidRDefault="002D37D6" w:rsidP="002D37D6">
      <w:pPr>
        <w:pStyle w:val="Heading5"/>
        <w:framePr w:wrap="around"/>
        <w:pBdr>
          <w:top w:val="single" w:sz="36" w:space="1" w:color="auto"/>
        </w:pBdr>
        <w:spacing w:after="0" w:line="240" w:lineRule="auto"/>
      </w:pPr>
      <w:r w:rsidRPr="00C22597">
        <w:t xml:space="preserve">Risk summary: residual risks </w:t>
      </w:r>
    </w:p>
    <w:p w14:paraId="4FA6A6D6" w14:textId="77777777" w:rsidR="00A8544C" w:rsidRPr="00A8544C" w:rsidRDefault="00A8544C" w:rsidP="00A8544C">
      <w:pPr>
        <w:pStyle w:val="Heading6"/>
        <w:rPr>
          <w:lang w:eastAsia="en-US"/>
        </w:rPr>
      </w:pP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2411"/>
        <w:gridCol w:w="1701"/>
        <w:gridCol w:w="1275"/>
        <w:gridCol w:w="1560"/>
        <w:gridCol w:w="1275"/>
        <w:gridCol w:w="1418"/>
        <w:gridCol w:w="1276"/>
      </w:tblGrid>
      <w:tr w:rsidR="00FE7291" w:rsidRPr="00DB0497" w14:paraId="05EF2985" w14:textId="77777777">
        <w:trPr>
          <w:tblHeader/>
        </w:trPr>
        <w:tc>
          <w:tcPr>
            <w:tcW w:w="2411" w:type="dxa"/>
            <w:hideMark/>
          </w:tcPr>
          <w:p w14:paraId="2EEEFC02" w14:textId="77777777" w:rsidR="002D37D6" w:rsidRPr="006776F7" w:rsidRDefault="002D37D6">
            <w:pPr>
              <w:spacing w:before="60" w:after="40"/>
              <w:ind w:left="113"/>
              <w:rPr>
                <w:rFonts w:eastAsia="Calibri" w:cs="Arial"/>
                <w:b/>
                <w:sz w:val="24"/>
              </w:rPr>
            </w:pPr>
            <w:r w:rsidRPr="006776F7">
              <w:rPr>
                <w:rFonts w:eastAsia="Calibri" w:cs="Arial"/>
                <w:b/>
                <w:sz w:val="24"/>
              </w:rPr>
              <w:t>Risk area</w:t>
            </w:r>
          </w:p>
        </w:tc>
        <w:tc>
          <w:tcPr>
            <w:tcW w:w="1701" w:type="dxa"/>
            <w:hideMark/>
          </w:tcPr>
          <w:p w14:paraId="2146A395" w14:textId="77777777" w:rsidR="002D37D6" w:rsidRPr="006776F7" w:rsidRDefault="002D37D6">
            <w:pPr>
              <w:spacing w:before="60" w:after="40"/>
              <w:ind w:left="113" w:right="113"/>
              <w:rPr>
                <w:rFonts w:eastAsia="Calibri" w:cs="Arial"/>
                <w:b/>
                <w:sz w:val="24"/>
              </w:rPr>
            </w:pPr>
            <w:r w:rsidRPr="006776F7">
              <w:rPr>
                <w:rFonts w:eastAsia="Calibri" w:cs="Arial"/>
                <w:b/>
                <w:sz w:val="24"/>
              </w:rPr>
              <w:t>Strategy link</w:t>
            </w:r>
            <w:r w:rsidRPr="006776F7">
              <w:rPr>
                <w:rFonts w:eastAsia="Calibri" w:cs="Arial"/>
                <w:b/>
                <w:sz w:val="24"/>
                <w:vertAlign w:val="superscript"/>
              </w:rPr>
              <w:t>*</w:t>
            </w:r>
          </w:p>
        </w:tc>
        <w:tc>
          <w:tcPr>
            <w:tcW w:w="1275" w:type="dxa"/>
            <w:hideMark/>
          </w:tcPr>
          <w:p w14:paraId="2DFE5037" w14:textId="77777777" w:rsidR="002D37D6" w:rsidRPr="006776F7" w:rsidRDefault="002D37D6">
            <w:pPr>
              <w:spacing w:before="60" w:after="40"/>
              <w:ind w:left="113" w:right="113"/>
              <w:rPr>
                <w:rFonts w:eastAsia="Calibri" w:cs="Arial"/>
                <w:b/>
                <w:sz w:val="24"/>
              </w:rPr>
            </w:pPr>
            <w:r w:rsidRPr="006776F7">
              <w:rPr>
                <w:rFonts w:eastAsia="Calibri" w:cs="Arial"/>
                <w:b/>
                <w:sz w:val="24"/>
              </w:rPr>
              <w:t>Residual risk</w:t>
            </w:r>
          </w:p>
        </w:tc>
        <w:tc>
          <w:tcPr>
            <w:tcW w:w="1560" w:type="dxa"/>
          </w:tcPr>
          <w:p w14:paraId="10581398" w14:textId="77777777" w:rsidR="002D37D6" w:rsidRPr="006776F7" w:rsidRDefault="002D37D6">
            <w:pPr>
              <w:spacing w:before="60" w:after="40"/>
              <w:ind w:left="113" w:right="113"/>
              <w:rPr>
                <w:rFonts w:eastAsia="Calibri" w:cs="Arial"/>
                <w:b/>
                <w:sz w:val="24"/>
              </w:rPr>
            </w:pPr>
            <w:r>
              <w:rPr>
                <w:rFonts w:eastAsia="Calibri" w:cs="Arial"/>
                <w:b/>
                <w:sz w:val="24"/>
              </w:rPr>
              <w:t>Risk owner</w:t>
            </w:r>
          </w:p>
        </w:tc>
        <w:tc>
          <w:tcPr>
            <w:tcW w:w="1275" w:type="dxa"/>
          </w:tcPr>
          <w:p w14:paraId="1DF457E2" w14:textId="77777777" w:rsidR="002D37D6" w:rsidRPr="006776F7" w:rsidRDefault="002D37D6">
            <w:pPr>
              <w:spacing w:before="60" w:after="40"/>
              <w:ind w:left="113" w:right="113"/>
              <w:rPr>
                <w:rFonts w:eastAsia="Calibri" w:cs="Arial"/>
                <w:b/>
                <w:sz w:val="24"/>
              </w:rPr>
            </w:pPr>
            <w:r w:rsidRPr="006776F7">
              <w:rPr>
                <w:rFonts w:eastAsia="Calibri" w:cs="Arial"/>
                <w:b/>
                <w:sz w:val="24"/>
              </w:rPr>
              <w:t>Status</w:t>
            </w:r>
          </w:p>
        </w:tc>
        <w:tc>
          <w:tcPr>
            <w:tcW w:w="1418" w:type="dxa"/>
          </w:tcPr>
          <w:p w14:paraId="41DC2C47" w14:textId="77777777" w:rsidR="002D37D6" w:rsidRDefault="002D37D6">
            <w:pPr>
              <w:spacing w:before="60" w:after="40"/>
              <w:ind w:left="113" w:right="113"/>
              <w:rPr>
                <w:rFonts w:eastAsia="Calibri" w:cs="Arial"/>
                <w:b/>
                <w:sz w:val="24"/>
              </w:rPr>
            </w:pPr>
            <w:r>
              <w:rPr>
                <w:rFonts w:eastAsia="Calibri" w:cs="Arial"/>
                <w:b/>
                <w:sz w:val="24"/>
              </w:rPr>
              <w:t>Tolerance</w:t>
            </w:r>
          </w:p>
        </w:tc>
        <w:tc>
          <w:tcPr>
            <w:tcW w:w="1276" w:type="dxa"/>
            <w:hideMark/>
          </w:tcPr>
          <w:p w14:paraId="369B7BF5" w14:textId="77777777" w:rsidR="002D37D6" w:rsidRPr="006776F7" w:rsidRDefault="002D37D6">
            <w:pPr>
              <w:spacing w:before="60" w:after="40"/>
              <w:ind w:left="113" w:right="113"/>
              <w:rPr>
                <w:rFonts w:eastAsia="Calibri" w:cs="Arial"/>
                <w:b/>
                <w:sz w:val="24"/>
              </w:rPr>
            </w:pPr>
            <w:r w:rsidRPr="006776F7">
              <w:rPr>
                <w:rFonts w:eastAsia="Calibri" w:cs="Arial"/>
                <w:b/>
                <w:sz w:val="24"/>
              </w:rPr>
              <w:t>Trend</w:t>
            </w:r>
            <w:r w:rsidRPr="006776F7">
              <w:rPr>
                <w:rFonts w:eastAsia="Calibri" w:cs="Arial"/>
                <w:b/>
                <w:sz w:val="24"/>
                <w:vertAlign w:val="superscript"/>
              </w:rPr>
              <w:t>**</w:t>
            </w:r>
          </w:p>
        </w:tc>
      </w:tr>
      <w:tr w:rsidR="009657C0" w:rsidRPr="00DB0497" w14:paraId="1C44BB7A" w14:textId="77777777">
        <w:trPr>
          <w:trHeight w:val="1666"/>
        </w:trPr>
        <w:tc>
          <w:tcPr>
            <w:tcW w:w="2411" w:type="dxa"/>
            <w:shd w:val="clear" w:color="auto" w:fill="F2F2F2" w:themeFill="background1" w:themeFillShade="F2"/>
          </w:tcPr>
          <w:p w14:paraId="431879AE" w14:textId="77777777" w:rsidR="002D37D6" w:rsidRPr="006776F7" w:rsidRDefault="002D37D6">
            <w:pPr>
              <w:spacing w:before="60" w:after="40"/>
              <w:ind w:left="113" w:right="113"/>
              <w:rPr>
                <w:rFonts w:eastAsia="Calibri" w:cs="Arial"/>
                <w:sz w:val="24"/>
              </w:rPr>
            </w:pPr>
            <w:r w:rsidRPr="006776F7">
              <w:rPr>
                <w:rFonts w:eastAsia="Calibri" w:cs="Arial"/>
                <w:sz w:val="24"/>
              </w:rPr>
              <w:t>R1: Failure to regulate appropriately</w:t>
            </w:r>
          </w:p>
        </w:tc>
        <w:tc>
          <w:tcPr>
            <w:tcW w:w="1701" w:type="dxa"/>
            <w:shd w:val="clear" w:color="auto" w:fill="F2F2F2" w:themeFill="background1" w:themeFillShade="F2"/>
          </w:tcPr>
          <w:p w14:paraId="1D00E20D" w14:textId="77777777" w:rsidR="002D37D6" w:rsidRPr="006776F7" w:rsidRDefault="002D37D6">
            <w:pPr>
              <w:spacing w:before="60" w:after="40"/>
              <w:ind w:left="113" w:right="113"/>
              <w:rPr>
                <w:rFonts w:eastAsia="Calibri" w:cs="Arial"/>
                <w:sz w:val="24"/>
              </w:rPr>
            </w:pPr>
            <w:r w:rsidRPr="006776F7">
              <w:rPr>
                <w:rFonts w:eastAsia="Calibri" w:cs="Arial"/>
                <w:sz w:val="24"/>
              </w:rPr>
              <w:t>Delivery (a-d &amp; f) and Development (a-d) objectives</w:t>
            </w:r>
          </w:p>
        </w:tc>
        <w:tc>
          <w:tcPr>
            <w:tcW w:w="1275" w:type="dxa"/>
            <w:shd w:val="clear" w:color="auto" w:fill="FFFF00"/>
          </w:tcPr>
          <w:p w14:paraId="45ECDE65" w14:textId="6A3CF982" w:rsidR="002D37D6" w:rsidRPr="006776F7" w:rsidRDefault="002D37D6">
            <w:pPr>
              <w:tabs>
                <w:tab w:val="left" w:pos="373"/>
                <w:tab w:val="left" w:pos="656"/>
              </w:tabs>
              <w:spacing w:before="60" w:after="40"/>
              <w:ind w:left="113" w:right="113"/>
              <w:rPr>
                <w:rFonts w:eastAsia="Calibri" w:cs="Arial"/>
                <w:b/>
                <w:sz w:val="24"/>
              </w:rPr>
            </w:pPr>
            <w:r>
              <w:rPr>
                <w:rFonts w:eastAsia="Calibri" w:cs="Arial"/>
                <w:b/>
                <w:sz w:val="24"/>
              </w:rPr>
              <w:t>9</w:t>
            </w:r>
            <w:r w:rsidRPr="006776F7">
              <w:rPr>
                <w:rFonts w:eastAsia="Calibri" w:cs="Arial"/>
                <w:b/>
                <w:sz w:val="24"/>
              </w:rPr>
              <w:t xml:space="preserve"> </w:t>
            </w:r>
            <w:r w:rsidR="00C82255">
              <w:rPr>
                <w:rFonts w:eastAsia="Calibri" w:cs="Arial"/>
                <w:b/>
                <w:sz w:val="24"/>
              </w:rPr>
              <w:t>-</w:t>
            </w:r>
            <w:r w:rsidRPr="006776F7">
              <w:rPr>
                <w:rFonts w:eastAsia="Calibri" w:cs="Arial"/>
                <w:b/>
                <w:sz w:val="24"/>
              </w:rPr>
              <w:t xml:space="preserve"> </w:t>
            </w:r>
            <w:r>
              <w:rPr>
                <w:rFonts w:eastAsia="Calibri" w:cs="Arial"/>
                <w:b/>
                <w:sz w:val="24"/>
              </w:rPr>
              <w:t>Medium</w:t>
            </w:r>
          </w:p>
        </w:tc>
        <w:tc>
          <w:tcPr>
            <w:tcW w:w="1560" w:type="dxa"/>
            <w:shd w:val="clear" w:color="auto" w:fill="F2F2F2" w:themeFill="background1" w:themeFillShade="F2"/>
          </w:tcPr>
          <w:p w14:paraId="2B1CA215" w14:textId="77777777" w:rsidR="002D37D6" w:rsidRPr="00B361EB" w:rsidRDefault="002D37D6">
            <w:pPr>
              <w:spacing w:before="60" w:after="40"/>
              <w:ind w:left="113" w:right="113"/>
              <w:rPr>
                <w:rFonts w:eastAsia="Calibri" w:cs="Arial"/>
              </w:rPr>
            </w:pPr>
            <w:r w:rsidRPr="00B361EB">
              <w:rPr>
                <w:rFonts w:eastAsia="Calibri" w:cs="Arial"/>
              </w:rPr>
              <w:t>Director of Regulation</w:t>
            </w:r>
          </w:p>
        </w:tc>
        <w:tc>
          <w:tcPr>
            <w:tcW w:w="1275" w:type="dxa"/>
            <w:shd w:val="clear" w:color="auto" w:fill="F2F2F2" w:themeFill="background1" w:themeFillShade="F2"/>
          </w:tcPr>
          <w:p w14:paraId="0482CDDC" w14:textId="77777777" w:rsidR="002D37D6" w:rsidRPr="006776F7" w:rsidRDefault="002D37D6">
            <w:pPr>
              <w:spacing w:before="60" w:after="40"/>
              <w:ind w:left="113" w:right="113"/>
              <w:rPr>
                <w:rFonts w:eastAsia="Calibri" w:cs="Arial"/>
                <w:sz w:val="24"/>
              </w:rPr>
            </w:pPr>
            <w:r>
              <w:rPr>
                <w:rFonts w:eastAsia="Calibri" w:cs="Arial"/>
                <w:sz w:val="24"/>
              </w:rPr>
              <w:t xml:space="preserve">Below </w:t>
            </w:r>
            <w:r w:rsidRPr="006776F7">
              <w:rPr>
                <w:rFonts w:eastAsia="Calibri" w:cs="Arial"/>
                <w:sz w:val="24"/>
              </w:rPr>
              <w:t>tolerance</w:t>
            </w:r>
          </w:p>
        </w:tc>
        <w:tc>
          <w:tcPr>
            <w:tcW w:w="1418" w:type="dxa"/>
            <w:shd w:val="clear" w:color="auto" w:fill="F2F2F2" w:themeFill="background1" w:themeFillShade="F2"/>
          </w:tcPr>
          <w:p w14:paraId="29201650" w14:textId="77777777" w:rsidR="002D37D6" w:rsidRDefault="002D37D6">
            <w:pPr>
              <w:spacing w:before="60" w:after="40"/>
              <w:ind w:left="113" w:right="113"/>
              <w:rPr>
                <w:rFonts w:ascii="Wingdings" w:eastAsia="Wingdings" w:hAnsi="Wingdings" w:cs="Wingdings"/>
                <w:b/>
                <w:bCs/>
                <w:sz w:val="24"/>
              </w:rPr>
            </w:pPr>
          </w:p>
          <w:p w14:paraId="4F04C70A" w14:textId="77777777" w:rsidR="002D37D6" w:rsidRDefault="002D37D6">
            <w:pPr>
              <w:spacing w:before="60" w:after="40"/>
              <w:ind w:left="113" w:right="113"/>
              <w:rPr>
                <w:rFonts w:ascii="Wingdings" w:eastAsia="Wingdings" w:hAnsi="Wingdings" w:cs="Wingdings"/>
                <w:b/>
                <w:bCs/>
                <w:sz w:val="24"/>
              </w:rPr>
            </w:pPr>
            <w:r>
              <w:rPr>
                <w:rFonts w:eastAsia="Wingdings" w:cs="Arial"/>
                <w:b/>
                <w:bCs/>
                <w:sz w:val="24"/>
              </w:rPr>
              <w:t>10</w:t>
            </w:r>
          </w:p>
        </w:tc>
        <w:tc>
          <w:tcPr>
            <w:tcW w:w="1276" w:type="dxa"/>
            <w:shd w:val="clear" w:color="auto" w:fill="F2F2F2" w:themeFill="background1" w:themeFillShade="F2"/>
          </w:tcPr>
          <w:p w14:paraId="0554AB85" w14:textId="77777777" w:rsidR="002D37D6" w:rsidRPr="006776F7" w:rsidRDefault="002D37D6">
            <w:pPr>
              <w:spacing w:before="60" w:after="40"/>
              <w:ind w:left="113" w:right="113"/>
              <w:rPr>
                <w:rFonts w:eastAsia="Calibri" w:cs="Arial"/>
                <w:sz w:val="24"/>
              </w:rPr>
            </w:pPr>
            <w:r w:rsidRPr="006776F7">
              <w:rPr>
                <w:rFonts w:ascii="Wingdings" w:eastAsia="Wingdings" w:hAnsi="Wingdings" w:cs="Wingdings"/>
                <w:sz w:val="24"/>
              </w:rPr>
              <w:t>óòóó</w:t>
            </w:r>
          </w:p>
        </w:tc>
      </w:tr>
      <w:tr w:rsidR="009657C0" w:rsidRPr="00DB0497" w14:paraId="40C39BF1" w14:textId="77777777">
        <w:tc>
          <w:tcPr>
            <w:tcW w:w="2411" w:type="dxa"/>
            <w:shd w:val="clear" w:color="auto" w:fill="F2F2F2" w:themeFill="background1" w:themeFillShade="F2"/>
          </w:tcPr>
          <w:p w14:paraId="13D8E69A" w14:textId="77777777" w:rsidR="002D37D6" w:rsidRPr="006776F7" w:rsidRDefault="002D37D6">
            <w:pPr>
              <w:spacing w:before="60" w:after="40"/>
              <w:ind w:left="113" w:right="113"/>
              <w:rPr>
                <w:rFonts w:eastAsia="Calibri" w:cs="Arial"/>
                <w:sz w:val="24"/>
              </w:rPr>
            </w:pPr>
            <w:r w:rsidRPr="006776F7">
              <w:rPr>
                <w:rFonts w:eastAsia="Calibri" w:cs="Arial"/>
                <w:sz w:val="24"/>
              </w:rPr>
              <w:t>R2: Failure to manage an incident</w:t>
            </w:r>
          </w:p>
        </w:tc>
        <w:tc>
          <w:tcPr>
            <w:tcW w:w="1701" w:type="dxa"/>
            <w:shd w:val="clear" w:color="auto" w:fill="F2F2F2" w:themeFill="background1" w:themeFillShade="F2"/>
          </w:tcPr>
          <w:p w14:paraId="03136D07" w14:textId="77777777" w:rsidR="002D37D6" w:rsidRPr="006776F7" w:rsidRDefault="002D37D6">
            <w:pPr>
              <w:spacing w:before="60" w:after="40"/>
              <w:ind w:left="113" w:right="113"/>
              <w:rPr>
                <w:rFonts w:eastAsia="Calibri" w:cs="Arial"/>
                <w:sz w:val="24"/>
              </w:rPr>
            </w:pPr>
            <w:r w:rsidRPr="006776F7">
              <w:rPr>
                <w:rFonts w:eastAsia="Calibri" w:cs="Arial"/>
                <w:sz w:val="24"/>
              </w:rPr>
              <w:t>Delivery, Development and Deployment objectives</w:t>
            </w:r>
          </w:p>
        </w:tc>
        <w:tc>
          <w:tcPr>
            <w:tcW w:w="1275" w:type="dxa"/>
            <w:shd w:val="clear" w:color="auto" w:fill="FFFF00"/>
          </w:tcPr>
          <w:p w14:paraId="1B4A592C" w14:textId="77777777" w:rsidR="002D37D6" w:rsidRPr="006776F7" w:rsidRDefault="002D37D6">
            <w:pPr>
              <w:tabs>
                <w:tab w:val="left" w:pos="373"/>
                <w:tab w:val="left" w:pos="656"/>
              </w:tabs>
              <w:spacing w:before="60" w:after="40"/>
              <w:ind w:left="113" w:right="113"/>
              <w:rPr>
                <w:rFonts w:eastAsia="Calibri" w:cs="Arial"/>
                <w:b/>
                <w:sz w:val="24"/>
              </w:rPr>
            </w:pPr>
            <w:r>
              <w:rPr>
                <w:rFonts w:eastAsia="Calibri" w:cs="Arial"/>
                <w:b/>
                <w:sz w:val="24"/>
              </w:rPr>
              <w:t>6</w:t>
            </w:r>
            <w:r w:rsidRPr="006776F7">
              <w:rPr>
                <w:rFonts w:eastAsia="Calibri" w:cs="Arial"/>
                <w:b/>
                <w:sz w:val="24"/>
              </w:rPr>
              <w:t xml:space="preserve"> - Medium</w:t>
            </w:r>
          </w:p>
        </w:tc>
        <w:tc>
          <w:tcPr>
            <w:tcW w:w="1560" w:type="dxa"/>
            <w:shd w:val="clear" w:color="auto" w:fill="F2F2F2" w:themeFill="background1" w:themeFillShade="F2"/>
          </w:tcPr>
          <w:p w14:paraId="0E4BA63C" w14:textId="77777777" w:rsidR="002D37D6" w:rsidRPr="00B361EB" w:rsidRDefault="002D37D6">
            <w:pPr>
              <w:spacing w:before="60" w:after="40"/>
              <w:ind w:left="113" w:right="113"/>
              <w:rPr>
                <w:rFonts w:eastAsia="Calibri" w:cs="Arial"/>
              </w:rPr>
            </w:pPr>
            <w:r w:rsidRPr="00B361EB">
              <w:rPr>
                <w:rFonts w:eastAsia="Calibri" w:cs="Arial"/>
              </w:rPr>
              <w:t>Director of Regulation</w:t>
            </w:r>
          </w:p>
        </w:tc>
        <w:tc>
          <w:tcPr>
            <w:tcW w:w="1275" w:type="dxa"/>
            <w:shd w:val="clear" w:color="auto" w:fill="F2F2F2" w:themeFill="background1" w:themeFillShade="F2"/>
          </w:tcPr>
          <w:p w14:paraId="07350D96" w14:textId="77777777" w:rsidR="002D37D6" w:rsidRDefault="002D37D6">
            <w:pPr>
              <w:spacing w:before="60" w:after="40"/>
              <w:ind w:left="113" w:right="113"/>
              <w:rPr>
                <w:rFonts w:eastAsia="Calibri" w:cs="Arial"/>
                <w:sz w:val="24"/>
              </w:rPr>
            </w:pPr>
            <w:r w:rsidRPr="006776F7">
              <w:rPr>
                <w:rFonts w:eastAsia="Calibri" w:cs="Arial"/>
                <w:sz w:val="24"/>
              </w:rPr>
              <w:t>A</w:t>
            </w:r>
            <w:r>
              <w:rPr>
                <w:rFonts w:eastAsia="Calibri" w:cs="Arial"/>
                <w:sz w:val="24"/>
              </w:rPr>
              <w:t>t</w:t>
            </w:r>
          </w:p>
          <w:p w14:paraId="1956F967" w14:textId="77777777" w:rsidR="002D37D6" w:rsidRPr="006776F7" w:rsidRDefault="002D37D6">
            <w:pPr>
              <w:spacing w:before="60" w:after="40"/>
              <w:ind w:left="113" w:right="113"/>
              <w:rPr>
                <w:rFonts w:eastAsia="Calibri" w:cs="Arial"/>
                <w:sz w:val="24"/>
              </w:rPr>
            </w:pPr>
            <w:r w:rsidRPr="006776F7">
              <w:rPr>
                <w:rFonts w:eastAsia="Calibri" w:cs="Arial"/>
                <w:sz w:val="24"/>
              </w:rPr>
              <w:t>tolerance</w:t>
            </w:r>
          </w:p>
        </w:tc>
        <w:tc>
          <w:tcPr>
            <w:tcW w:w="1418" w:type="dxa"/>
            <w:shd w:val="clear" w:color="auto" w:fill="F2F2F2" w:themeFill="background1" w:themeFillShade="F2"/>
          </w:tcPr>
          <w:p w14:paraId="38AAA9F4" w14:textId="77777777" w:rsidR="002D37D6" w:rsidRPr="00653384" w:rsidRDefault="002D37D6">
            <w:pPr>
              <w:spacing w:before="60" w:after="40"/>
              <w:ind w:left="113" w:right="113"/>
              <w:rPr>
                <w:rFonts w:eastAsia="Wingdings" w:cs="Arial"/>
                <w:sz w:val="24"/>
              </w:rPr>
            </w:pPr>
          </w:p>
          <w:p w14:paraId="0646BEB3" w14:textId="77777777" w:rsidR="002D37D6" w:rsidRPr="00653384" w:rsidRDefault="002D37D6">
            <w:pPr>
              <w:spacing w:before="60" w:after="40"/>
              <w:ind w:left="113" w:right="113"/>
              <w:rPr>
                <w:rFonts w:eastAsia="Wingdings" w:cs="Arial"/>
                <w:sz w:val="24"/>
              </w:rPr>
            </w:pPr>
            <w:r w:rsidRPr="00653384">
              <w:rPr>
                <w:rFonts w:eastAsia="Wingdings" w:cs="Arial"/>
                <w:b/>
                <w:bCs/>
                <w:sz w:val="24"/>
              </w:rPr>
              <w:t>6</w:t>
            </w:r>
          </w:p>
        </w:tc>
        <w:tc>
          <w:tcPr>
            <w:tcW w:w="1276" w:type="dxa"/>
            <w:shd w:val="clear" w:color="auto" w:fill="F2F2F2" w:themeFill="background1" w:themeFillShade="F2"/>
          </w:tcPr>
          <w:p w14:paraId="630E9053" w14:textId="77777777" w:rsidR="002D37D6" w:rsidRPr="006776F7" w:rsidRDefault="002D37D6">
            <w:pPr>
              <w:spacing w:before="60" w:after="40"/>
              <w:ind w:left="113" w:right="113"/>
              <w:rPr>
                <w:rFonts w:eastAsia="Calibri" w:cs="Arial"/>
                <w:sz w:val="24"/>
              </w:rPr>
            </w:pPr>
            <w:r w:rsidRPr="006776F7">
              <w:rPr>
                <w:rFonts w:ascii="Wingdings" w:eastAsia="Wingdings" w:hAnsi="Wingdings" w:cs="Wingdings"/>
                <w:sz w:val="24"/>
              </w:rPr>
              <w:t>óóóò</w:t>
            </w:r>
          </w:p>
        </w:tc>
      </w:tr>
      <w:tr w:rsidR="009657C0" w:rsidRPr="00DB0497" w14:paraId="624E888C" w14:textId="77777777">
        <w:tc>
          <w:tcPr>
            <w:tcW w:w="2411" w:type="dxa"/>
            <w:shd w:val="clear" w:color="auto" w:fill="F2F2F2" w:themeFill="background1" w:themeFillShade="F2"/>
          </w:tcPr>
          <w:p w14:paraId="2B423396" w14:textId="77777777" w:rsidR="002D37D6" w:rsidRPr="006776F7" w:rsidRDefault="002D37D6">
            <w:pPr>
              <w:spacing w:before="60" w:after="40"/>
              <w:ind w:left="113" w:right="113"/>
              <w:rPr>
                <w:rFonts w:eastAsia="Calibri" w:cs="Arial"/>
                <w:sz w:val="24"/>
              </w:rPr>
            </w:pPr>
            <w:r w:rsidRPr="006776F7">
              <w:rPr>
                <w:rFonts w:eastAsia="Calibri" w:cs="Arial"/>
                <w:sz w:val="24"/>
              </w:rPr>
              <w:t>R3: Failure to manage expectations of regulation</w:t>
            </w:r>
          </w:p>
        </w:tc>
        <w:tc>
          <w:tcPr>
            <w:tcW w:w="1701" w:type="dxa"/>
            <w:shd w:val="clear" w:color="auto" w:fill="F2F2F2" w:themeFill="background1" w:themeFillShade="F2"/>
          </w:tcPr>
          <w:p w14:paraId="25C1BC76" w14:textId="07AD34B1" w:rsidR="002D37D6" w:rsidRPr="006776F7" w:rsidRDefault="002D37D6">
            <w:pPr>
              <w:spacing w:before="60" w:after="40"/>
              <w:ind w:left="113" w:right="113"/>
              <w:rPr>
                <w:rFonts w:eastAsia="Calibri" w:cs="Arial"/>
                <w:sz w:val="24"/>
              </w:rPr>
            </w:pPr>
            <w:r w:rsidRPr="006776F7">
              <w:rPr>
                <w:rFonts w:eastAsia="Calibri" w:cs="Arial"/>
                <w:sz w:val="24"/>
              </w:rPr>
              <w:t xml:space="preserve">Delivery </w:t>
            </w:r>
            <w:r w:rsidR="00AE459A">
              <w:rPr>
                <w:rFonts w:eastAsia="Calibri" w:cs="Arial"/>
                <w:sz w:val="24"/>
              </w:rPr>
              <w:t>(</w:t>
            </w:r>
            <w:r w:rsidRPr="006776F7">
              <w:rPr>
                <w:rFonts w:eastAsia="Calibri" w:cs="Arial"/>
                <w:sz w:val="24"/>
              </w:rPr>
              <w:t xml:space="preserve">e) and Development </w:t>
            </w:r>
            <w:r w:rsidR="00AE459A">
              <w:rPr>
                <w:rFonts w:eastAsia="Calibri" w:cs="Arial"/>
                <w:sz w:val="24"/>
              </w:rPr>
              <w:t>(</w:t>
            </w:r>
            <w:r w:rsidRPr="006776F7">
              <w:rPr>
                <w:rFonts w:eastAsia="Calibri" w:cs="Arial"/>
                <w:sz w:val="24"/>
              </w:rPr>
              <w:t>c)</w:t>
            </w:r>
          </w:p>
        </w:tc>
        <w:tc>
          <w:tcPr>
            <w:tcW w:w="1275" w:type="dxa"/>
            <w:shd w:val="clear" w:color="auto" w:fill="FFFF00"/>
          </w:tcPr>
          <w:p w14:paraId="1467D2D6" w14:textId="77777777" w:rsidR="002D37D6" w:rsidRPr="006776F7" w:rsidRDefault="002D37D6">
            <w:pPr>
              <w:tabs>
                <w:tab w:val="left" w:pos="373"/>
                <w:tab w:val="left" w:pos="656"/>
              </w:tabs>
              <w:spacing w:before="60" w:after="40"/>
              <w:ind w:left="113" w:right="113"/>
              <w:rPr>
                <w:rFonts w:eastAsia="Calibri" w:cs="Arial"/>
                <w:b/>
                <w:sz w:val="24"/>
              </w:rPr>
            </w:pPr>
            <w:r>
              <w:rPr>
                <w:rFonts w:eastAsia="Calibri" w:cs="Arial"/>
                <w:b/>
                <w:sz w:val="24"/>
              </w:rPr>
              <w:t>9</w:t>
            </w:r>
            <w:r w:rsidRPr="006776F7">
              <w:rPr>
                <w:rFonts w:eastAsia="Calibri" w:cs="Arial"/>
                <w:b/>
                <w:sz w:val="24"/>
              </w:rPr>
              <w:t xml:space="preserve"> - Medium</w:t>
            </w:r>
          </w:p>
        </w:tc>
        <w:tc>
          <w:tcPr>
            <w:tcW w:w="1560" w:type="dxa"/>
            <w:shd w:val="clear" w:color="auto" w:fill="F2F2F2" w:themeFill="background1" w:themeFillShade="F2"/>
          </w:tcPr>
          <w:p w14:paraId="6E1018A8" w14:textId="77777777" w:rsidR="002D37D6" w:rsidRPr="00B361EB" w:rsidRDefault="002D37D6">
            <w:pPr>
              <w:spacing w:before="60" w:after="40"/>
              <w:ind w:left="113" w:right="113"/>
              <w:rPr>
                <w:rFonts w:eastAsia="Calibri" w:cs="Arial"/>
              </w:rPr>
            </w:pPr>
            <w:r w:rsidRPr="00B361EB">
              <w:rPr>
                <w:rFonts w:eastAsia="Calibri" w:cs="Arial"/>
              </w:rPr>
              <w:t xml:space="preserve">Director of </w:t>
            </w:r>
            <w:r>
              <w:rPr>
                <w:rFonts w:eastAsia="Calibri" w:cs="Arial"/>
              </w:rPr>
              <w:t>Data, Technology &amp; Development</w:t>
            </w:r>
          </w:p>
        </w:tc>
        <w:tc>
          <w:tcPr>
            <w:tcW w:w="1275" w:type="dxa"/>
            <w:shd w:val="clear" w:color="auto" w:fill="F2F2F2" w:themeFill="background1" w:themeFillShade="F2"/>
          </w:tcPr>
          <w:p w14:paraId="7A8ED8B8" w14:textId="77777777" w:rsidR="002D37D6" w:rsidRPr="006776F7" w:rsidRDefault="002D37D6">
            <w:pPr>
              <w:spacing w:before="60" w:after="40"/>
              <w:ind w:left="113" w:right="113"/>
              <w:rPr>
                <w:rFonts w:eastAsia="Calibri" w:cs="Arial"/>
                <w:sz w:val="24"/>
              </w:rPr>
            </w:pPr>
            <w:r>
              <w:rPr>
                <w:rFonts w:eastAsia="Calibri" w:cs="Arial"/>
                <w:sz w:val="24"/>
              </w:rPr>
              <w:t>At</w:t>
            </w:r>
            <w:r w:rsidRPr="5F71A3A2">
              <w:rPr>
                <w:rFonts w:eastAsia="Calibri" w:cs="Arial"/>
                <w:sz w:val="24"/>
              </w:rPr>
              <w:t xml:space="preserve"> </w:t>
            </w:r>
            <w:r w:rsidRPr="006776F7">
              <w:rPr>
                <w:rFonts w:eastAsia="Calibri" w:cs="Arial"/>
                <w:sz w:val="24"/>
              </w:rPr>
              <w:t>tolerance</w:t>
            </w:r>
          </w:p>
          <w:p w14:paraId="551CF611" w14:textId="77777777" w:rsidR="002D37D6" w:rsidRPr="006776F7" w:rsidRDefault="002D37D6">
            <w:pPr>
              <w:spacing w:before="60" w:after="40"/>
              <w:ind w:left="113" w:right="113"/>
              <w:rPr>
                <w:rFonts w:eastAsia="Calibri" w:cs="Arial"/>
                <w:sz w:val="24"/>
              </w:rPr>
            </w:pPr>
          </w:p>
        </w:tc>
        <w:tc>
          <w:tcPr>
            <w:tcW w:w="1418" w:type="dxa"/>
            <w:shd w:val="clear" w:color="auto" w:fill="F2F2F2" w:themeFill="background1" w:themeFillShade="F2"/>
          </w:tcPr>
          <w:p w14:paraId="5318C151" w14:textId="77777777" w:rsidR="002D37D6" w:rsidRDefault="002D37D6">
            <w:pPr>
              <w:spacing w:before="60" w:after="40"/>
              <w:ind w:left="113" w:right="113"/>
              <w:rPr>
                <w:rFonts w:eastAsia="Wingdings" w:cs="Arial"/>
                <w:sz w:val="24"/>
              </w:rPr>
            </w:pPr>
          </w:p>
          <w:p w14:paraId="77BD23C7" w14:textId="77777777" w:rsidR="002D37D6" w:rsidRDefault="002D37D6">
            <w:pPr>
              <w:spacing w:before="60" w:after="40"/>
              <w:ind w:left="113" w:right="113"/>
              <w:rPr>
                <w:rFonts w:eastAsia="Wingdings" w:cs="Arial"/>
                <w:b/>
                <w:bCs/>
                <w:sz w:val="24"/>
              </w:rPr>
            </w:pPr>
            <w:r>
              <w:rPr>
                <w:rFonts w:eastAsia="Wingdings" w:cs="Arial"/>
                <w:b/>
                <w:bCs/>
                <w:sz w:val="24"/>
              </w:rPr>
              <w:t>9</w:t>
            </w:r>
          </w:p>
          <w:p w14:paraId="2E1283F4" w14:textId="77777777" w:rsidR="002D37D6" w:rsidRDefault="002D37D6">
            <w:pPr>
              <w:spacing w:before="60" w:after="40"/>
              <w:ind w:left="113" w:right="113"/>
              <w:rPr>
                <w:rFonts w:eastAsia="Wingdings" w:cs="Arial"/>
                <w:sz w:val="24"/>
              </w:rPr>
            </w:pPr>
          </w:p>
        </w:tc>
        <w:tc>
          <w:tcPr>
            <w:tcW w:w="1276" w:type="dxa"/>
            <w:shd w:val="clear" w:color="auto" w:fill="F2F2F2" w:themeFill="background1" w:themeFillShade="F2"/>
          </w:tcPr>
          <w:p w14:paraId="175CE875" w14:textId="77777777" w:rsidR="002D37D6" w:rsidRPr="006776F7" w:rsidRDefault="002D37D6">
            <w:pPr>
              <w:spacing w:before="60" w:after="40"/>
              <w:ind w:left="113" w:right="113"/>
              <w:rPr>
                <w:rFonts w:eastAsia="Calibri" w:cs="Arial"/>
                <w:sz w:val="24"/>
              </w:rPr>
            </w:pPr>
            <w:r w:rsidRPr="006776F7">
              <w:rPr>
                <w:rFonts w:ascii="Wingdings" w:eastAsia="Wingdings" w:hAnsi="Wingdings" w:cs="Wingdings"/>
                <w:sz w:val="24"/>
              </w:rPr>
              <w:t>óóóó</w:t>
            </w:r>
          </w:p>
        </w:tc>
      </w:tr>
      <w:tr w:rsidR="009657C0" w:rsidRPr="00DB0497" w14:paraId="66A5C1C8" w14:textId="77777777">
        <w:tc>
          <w:tcPr>
            <w:tcW w:w="2411" w:type="dxa"/>
            <w:shd w:val="clear" w:color="auto" w:fill="F2F2F2" w:themeFill="background1" w:themeFillShade="F2"/>
          </w:tcPr>
          <w:p w14:paraId="79D95DF7" w14:textId="77777777" w:rsidR="002D37D6" w:rsidRPr="006776F7" w:rsidRDefault="002D37D6">
            <w:pPr>
              <w:spacing w:before="60" w:after="40"/>
              <w:ind w:left="113" w:right="113"/>
              <w:rPr>
                <w:rFonts w:eastAsia="Calibri" w:cs="Arial"/>
                <w:sz w:val="24"/>
              </w:rPr>
            </w:pPr>
            <w:r w:rsidRPr="006776F7">
              <w:rPr>
                <w:rFonts w:eastAsia="Calibri" w:cs="Arial"/>
                <w:sz w:val="24"/>
              </w:rPr>
              <w:t xml:space="preserve">R4: Failure to utilise our </w:t>
            </w:r>
            <w:r w:rsidRPr="1CFD7198">
              <w:rPr>
                <w:rFonts w:eastAsia="Calibri" w:cs="Arial"/>
                <w:sz w:val="24"/>
              </w:rPr>
              <w:t xml:space="preserve">staff </w:t>
            </w:r>
            <w:r w:rsidRPr="006776F7">
              <w:rPr>
                <w:rFonts w:eastAsia="Calibri" w:cs="Arial"/>
                <w:sz w:val="24"/>
              </w:rPr>
              <w:t xml:space="preserve">capabilities effectively </w:t>
            </w:r>
          </w:p>
        </w:tc>
        <w:tc>
          <w:tcPr>
            <w:tcW w:w="1701" w:type="dxa"/>
            <w:shd w:val="clear" w:color="auto" w:fill="F2F2F2" w:themeFill="background1" w:themeFillShade="F2"/>
          </w:tcPr>
          <w:p w14:paraId="22F6B748" w14:textId="77777777" w:rsidR="002D37D6" w:rsidRPr="006776F7" w:rsidRDefault="002D37D6">
            <w:pPr>
              <w:spacing w:before="60" w:after="40"/>
              <w:ind w:left="113" w:right="113"/>
              <w:rPr>
                <w:rFonts w:eastAsia="Calibri" w:cs="Arial"/>
                <w:sz w:val="24"/>
              </w:rPr>
            </w:pPr>
            <w:r w:rsidRPr="006776F7">
              <w:rPr>
                <w:rFonts w:eastAsia="Calibri" w:cs="Arial"/>
                <w:sz w:val="24"/>
              </w:rPr>
              <w:t>Delivery, Development and Deployment (a, c</w:t>
            </w:r>
            <w:r w:rsidRPr="41BBBECB">
              <w:rPr>
                <w:rFonts w:eastAsia="Calibri" w:cs="Arial"/>
                <w:sz w:val="24"/>
              </w:rPr>
              <w:t>,</w:t>
            </w:r>
            <w:r w:rsidRPr="006776F7">
              <w:rPr>
                <w:rFonts w:eastAsia="Calibri" w:cs="Arial"/>
                <w:sz w:val="24"/>
              </w:rPr>
              <w:t xml:space="preserve"> and d)</w:t>
            </w:r>
          </w:p>
        </w:tc>
        <w:tc>
          <w:tcPr>
            <w:tcW w:w="1275" w:type="dxa"/>
            <w:shd w:val="clear" w:color="auto" w:fill="FFFF00"/>
          </w:tcPr>
          <w:p w14:paraId="6DE20405" w14:textId="77777777" w:rsidR="002D37D6" w:rsidRPr="006776F7" w:rsidRDefault="002D37D6">
            <w:pPr>
              <w:tabs>
                <w:tab w:val="left" w:pos="373"/>
                <w:tab w:val="left" w:pos="656"/>
              </w:tabs>
              <w:spacing w:before="60" w:after="40"/>
              <w:ind w:left="113" w:right="113"/>
              <w:rPr>
                <w:rFonts w:eastAsia="Calibri" w:cs="Arial"/>
                <w:b/>
                <w:sz w:val="24"/>
              </w:rPr>
            </w:pPr>
            <w:r w:rsidRPr="006776F7">
              <w:rPr>
                <w:rFonts w:eastAsia="Calibri" w:cs="Arial"/>
                <w:b/>
                <w:sz w:val="24"/>
              </w:rPr>
              <w:t>9 - Medium</w:t>
            </w:r>
            <w:r>
              <w:rPr>
                <w:rFonts w:eastAsia="Calibri" w:cs="Arial"/>
                <w:b/>
                <w:sz w:val="24"/>
              </w:rPr>
              <w:t xml:space="preserve"> </w:t>
            </w:r>
          </w:p>
        </w:tc>
        <w:tc>
          <w:tcPr>
            <w:tcW w:w="1560" w:type="dxa"/>
            <w:shd w:val="clear" w:color="auto" w:fill="F2F2F2" w:themeFill="background1" w:themeFillShade="F2"/>
          </w:tcPr>
          <w:p w14:paraId="12C11CDE" w14:textId="77777777" w:rsidR="002D37D6" w:rsidRPr="00B361EB" w:rsidRDefault="002D37D6">
            <w:pPr>
              <w:spacing w:before="60" w:after="40"/>
              <w:ind w:left="113" w:right="113"/>
              <w:rPr>
                <w:rFonts w:eastAsia="Calibri" w:cs="Arial"/>
              </w:rPr>
            </w:pPr>
            <w:r>
              <w:rPr>
                <w:rFonts w:eastAsia="Calibri" w:cs="Arial"/>
              </w:rPr>
              <w:t>Director of Resources</w:t>
            </w:r>
          </w:p>
        </w:tc>
        <w:tc>
          <w:tcPr>
            <w:tcW w:w="1275" w:type="dxa"/>
            <w:shd w:val="clear" w:color="auto" w:fill="F2F2F2" w:themeFill="background1" w:themeFillShade="F2"/>
          </w:tcPr>
          <w:p w14:paraId="157D3D9A" w14:textId="77777777" w:rsidR="002D37D6" w:rsidRPr="006776F7" w:rsidRDefault="002D37D6">
            <w:pPr>
              <w:spacing w:before="60" w:after="40"/>
              <w:ind w:left="113" w:right="113"/>
              <w:rPr>
                <w:rFonts w:eastAsia="Calibri" w:cs="Arial"/>
                <w:sz w:val="24"/>
              </w:rPr>
            </w:pPr>
            <w:r>
              <w:rPr>
                <w:rFonts w:eastAsia="Calibri" w:cs="Arial"/>
                <w:sz w:val="24"/>
              </w:rPr>
              <w:t xml:space="preserve">At </w:t>
            </w:r>
            <w:r w:rsidRPr="006776F7">
              <w:rPr>
                <w:rFonts w:eastAsia="Calibri" w:cs="Arial"/>
                <w:sz w:val="24"/>
              </w:rPr>
              <w:t>tolerance</w:t>
            </w:r>
          </w:p>
        </w:tc>
        <w:tc>
          <w:tcPr>
            <w:tcW w:w="1418" w:type="dxa"/>
            <w:shd w:val="clear" w:color="auto" w:fill="F2F2F2" w:themeFill="background1" w:themeFillShade="F2"/>
          </w:tcPr>
          <w:p w14:paraId="00B10555" w14:textId="77777777" w:rsidR="002D37D6" w:rsidRDefault="002D37D6">
            <w:pPr>
              <w:spacing w:before="60" w:after="40"/>
              <w:ind w:left="113" w:right="113"/>
              <w:rPr>
                <w:rFonts w:eastAsia="Wingdings" w:cs="Arial"/>
                <w:sz w:val="24"/>
              </w:rPr>
            </w:pPr>
          </w:p>
          <w:p w14:paraId="22262CD4" w14:textId="77777777" w:rsidR="002D37D6" w:rsidRDefault="002D37D6">
            <w:pPr>
              <w:spacing w:before="60" w:after="40"/>
              <w:ind w:left="113" w:right="113"/>
              <w:rPr>
                <w:rFonts w:eastAsia="Wingdings" w:cs="Arial"/>
                <w:sz w:val="24"/>
              </w:rPr>
            </w:pPr>
            <w:r>
              <w:rPr>
                <w:rFonts w:eastAsia="Wingdings" w:cs="Arial"/>
                <w:b/>
                <w:bCs/>
                <w:sz w:val="24"/>
              </w:rPr>
              <w:t>9</w:t>
            </w:r>
          </w:p>
        </w:tc>
        <w:tc>
          <w:tcPr>
            <w:tcW w:w="1276" w:type="dxa"/>
            <w:shd w:val="clear" w:color="auto" w:fill="F2F2F2" w:themeFill="background1" w:themeFillShade="F2"/>
          </w:tcPr>
          <w:p w14:paraId="2D92752B" w14:textId="77777777" w:rsidR="002D37D6" w:rsidRPr="006776F7" w:rsidRDefault="002D37D6">
            <w:pPr>
              <w:spacing w:before="60" w:after="40"/>
              <w:ind w:left="113" w:right="113"/>
              <w:rPr>
                <w:rFonts w:eastAsia="Calibri" w:cs="Arial"/>
                <w:sz w:val="24"/>
              </w:rPr>
            </w:pPr>
            <w:r w:rsidRPr="006776F7">
              <w:rPr>
                <w:rFonts w:ascii="Wingdings" w:eastAsia="Wingdings" w:hAnsi="Wingdings" w:cs="Wingdings"/>
                <w:sz w:val="24"/>
              </w:rPr>
              <w:t>ñóòó</w:t>
            </w:r>
          </w:p>
        </w:tc>
      </w:tr>
      <w:tr w:rsidR="009657C0" w:rsidRPr="00DB0497" w14:paraId="035DA310" w14:textId="77777777">
        <w:tc>
          <w:tcPr>
            <w:tcW w:w="2411" w:type="dxa"/>
            <w:shd w:val="clear" w:color="auto" w:fill="F2F2F2" w:themeFill="background1" w:themeFillShade="F2"/>
          </w:tcPr>
          <w:p w14:paraId="0007FEF9" w14:textId="77777777" w:rsidR="002D37D6" w:rsidRPr="006776F7" w:rsidRDefault="002D37D6">
            <w:pPr>
              <w:spacing w:before="60" w:after="40"/>
              <w:ind w:left="113" w:right="113"/>
              <w:rPr>
                <w:rFonts w:eastAsia="Calibri" w:cs="Arial"/>
                <w:sz w:val="24"/>
              </w:rPr>
            </w:pPr>
            <w:r w:rsidRPr="006776F7">
              <w:rPr>
                <w:rFonts w:eastAsia="Calibri" w:cs="Arial"/>
                <w:sz w:val="24"/>
              </w:rPr>
              <w:t>R5: Insufficient or ineffective management of financial resources</w:t>
            </w:r>
          </w:p>
        </w:tc>
        <w:tc>
          <w:tcPr>
            <w:tcW w:w="1701" w:type="dxa"/>
            <w:shd w:val="clear" w:color="auto" w:fill="F2F2F2" w:themeFill="background1" w:themeFillShade="F2"/>
          </w:tcPr>
          <w:p w14:paraId="4DCD4211" w14:textId="77777777" w:rsidR="002D37D6" w:rsidRPr="006776F7" w:rsidRDefault="002D37D6">
            <w:pPr>
              <w:spacing w:before="60" w:after="40"/>
              <w:ind w:left="113" w:right="113"/>
              <w:rPr>
                <w:rFonts w:eastAsia="Calibri" w:cs="Arial"/>
                <w:sz w:val="24"/>
              </w:rPr>
            </w:pPr>
            <w:r w:rsidRPr="006776F7">
              <w:rPr>
                <w:rFonts w:eastAsia="Calibri" w:cs="Arial"/>
                <w:sz w:val="24"/>
              </w:rPr>
              <w:t>Deployment (b) objective</w:t>
            </w:r>
          </w:p>
        </w:tc>
        <w:tc>
          <w:tcPr>
            <w:tcW w:w="1275" w:type="dxa"/>
            <w:shd w:val="clear" w:color="auto" w:fill="00B0F0"/>
          </w:tcPr>
          <w:p w14:paraId="566C5513" w14:textId="77777777" w:rsidR="002D37D6" w:rsidRPr="006776F7" w:rsidRDefault="002D37D6">
            <w:pPr>
              <w:tabs>
                <w:tab w:val="left" w:pos="373"/>
                <w:tab w:val="left" w:pos="656"/>
              </w:tabs>
              <w:spacing w:before="60" w:after="40"/>
              <w:ind w:left="113" w:right="113"/>
              <w:rPr>
                <w:rFonts w:eastAsia="Calibri" w:cs="Arial"/>
                <w:b/>
                <w:sz w:val="24"/>
              </w:rPr>
            </w:pPr>
            <w:r>
              <w:rPr>
                <w:rFonts w:eastAsia="Calibri" w:cs="Arial"/>
                <w:b/>
                <w:sz w:val="24"/>
              </w:rPr>
              <w:t>4</w:t>
            </w:r>
            <w:r w:rsidRPr="006776F7">
              <w:rPr>
                <w:rFonts w:eastAsia="Calibri" w:cs="Arial"/>
                <w:b/>
                <w:sz w:val="24"/>
              </w:rPr>
              <w:t xml:space="preserve"> - </w:t>
            </w:r>
            <w:r>
              <w:rPr>
                <w:rFonts w:eastAsia="Calibri" w:cs="Arial"/>
                <w:b/>
                <w:sz w:val="24"/>
              </w:rPr>
              <w:t>Low</w:t>
            </w:r>
          </w:p>
        </w:tc>
        <w:tc>
          <w:tcPr>
            <w:tcW w:w="1560" w:type="dxa"/>
            <w:shd w:val="clear" w:color="auto" w:fill="F2F2F2" w:themeFill="background1" w:themeFillShade="F2"/>
          </w:tcPr>
          <w:p w14:paraId="1508ABA5" w14:textId="77777777" w:rsidR="002D37D6" w:rsidRPr="00B361EB" w:rsidRDefault="002D37D6">
            <w:pPr>
              <w:spacing w:before="60" w:after="40"/>
              <w:ind w:left="113" w:right="113"/>
              <w:rPr>
                <w:rFonts w:eastAsia="Calibri" w:cs="Arial"/>
              </w:rPr>
            </w:pPr>
            <w:r w:rsidRPr="13393910">
              <w:rPr>
                <w:rFonts w:eastAsia="Calibri" w:cs="Arial"/>
              </w:rPr>
              <w:t>Director of Resources</w:t>
            </w:r>
          </w:p>
        </w:tc>
        <w:tc>
          <w:tcPr>
            <w:tcW w:w="1275" w:type="dxa"/>
            <w:shd w:val="clear" w:color="auto" w:fill="F2F2F2" w:themeFill="background1" w:themeFillShade="F2"/>
          </w:tcPr>
          <w:p w14:paraId="08ADA872" w14:textId="77777777" w:rsidR="002D37D6" w:rsidRPr="006776F7" w:rsidRDefault="002D37D6">
            <w:pPr>
              <w:spacing w:before="60" w:after="40"/>
              <w:ind w:left="113" w:right="113"/>
              <w:rPr>
                <w:rFonts w:eastAsia="Calibri" w:cs="Arial"/>
                <w:sz w:val="24"/>
              </w:rPr>
            </w:pPr>
            <w:r w:rsidRPr="006776F7">
              <w:rPr>
                <w:rFonts w:eastAsia="Calibri" w:cs="Arial"/>
                <w:sz w:val="24"/>
              </w:rPr>
              <w:t>Above tolerance</w:t>
            </w:r>
          </w:p>
        </w:tc>
        <w:tc>
          <w:tcPr>
            <w:tcW w:w="1418" w:type="dxa"/>
            <w:shd w:val="clear" w:color="auto" w:fill="F2F2F2" w:themeFill="background1" w:themeFillShade="F2"/>
          </w:tcPr>
          <w:p w14:paraId="0923C62E" w14:textId="77777777" w:rsidR="002D37D6" w:rsidRDefault="002D37D6">
            <w:pPr>
              <w:spacing w:before="60" w:after="40"/>
              <w:ind w:left="113" w:right="113"/>
              <w:rPr>
                <w:rFonts w:eastAsia="Wingdings" w:cs="Arial"/>
                <w:sz w:val="24"/>
              </w:rPr>
            </w:pPr>
          </w:p>
          <w:p w14:paraId="3C767EFE" w14:textId="77777777" w:rsidR="002D37D6" w:rsidRDefault="002D37D6">
            <w:pPr>
              <w:spacing w:before="60" w:after="40"/>
              <w:ind w:left="113" w:right="113"/>
              <w:rPr>
                <w:rFonts w:eastAsia="Wingdings" w:cs="Arial"/>
                <w:sz w:val="24"/>
              </w:rPr>
            </w:pPr>
            <w:r>
              <w:rPr>
                <w:rFonts w:eastAsia="Wingdings" w:cs="Arial"/>
                <w:b/>
                <w:bCs/>
                <w:sz w:val="24"/>
              </w:rPr>
              <w:t>3</w:t>
            </w:r>
          </w:p>
        </w:tc>
        <w:tc>
          <w:tcPr>
            <w:tcW w:w="1276" w:type="dxa"/>
            <w:shd w:val="clear" w:color="auto" w:fill="F2F2F2" w:themeFill="background1" w:themeFillShade="F2"/>
            <w:hideMark/>
          </w:tcPr>
          <w:p w14:paraId="28F2BD87" w14:textId="77777777" w:rsidR="002D37D6" w:rsidRPr="006776F7" w:rsidRDefault="002D37D6">
            <w:pPr>
              <w:spacing w:before="60" w:after="40"/>
              <w:ind w:left="113" w:right="113"/>
              <w:rPr>
                <w:rFonts w:eastAsia="Calibri" w:cs="Arial"/>
                <w:sz w:val="24"/>
              </w:rPr>
            </w:pPr>
            <w:r w:rsidRPr="006776F7">
              <w:rPr>
                <w:rFonts w:ascii="Wingdings" w:eastAsia="Wingdings" w:hAnsi="Wingdings" w:cs="Wingdings"/>
                <w:sz w:val="24"/>
              </w:rPr>
              <w:t>óóó</w:t>
            </w:r>
            <w:r w:rsidRPr="00350FE5">
              <w:rPr>
                <w:rFonts w:ascii="Wingdings" w:eastAsia="Wingdings" w:hAnsi="Wingdings" w:cs="Wingdings"/>
                <w:bCs/>
                <w:sz w:val="24"/>
              </w:rPr>
              <w:t>ó</w:t>
            </w:r>
          </w:p>
        </w:tc>
      </w:tr>
      <w:tr w:rsidR="009657C0" w:rsidRPr="006776F7" w14:paraId="3A7849D5" w14:textId="77777777">
        <w:tc>
          <w:tcPr>
            <w:tcW w:w="2411" w:type="dxa"/>
            <w:shd w:val="clear" w:color="auto" w:fill="F2F2F2" w:themeFill="background1" w:themeFillShade="F2"/>
          </w:tcPr>
          <w:p w14:paraId="3A454713" w14:textId="77777777" w:rsidR="002D37D6" w:rsidRPr="006776F7" w:rsidRDefault="002D37D6">
            <w:pPr>
              <w:spacing w:before="60" w:after="40"/>
              <w:ind w:left="113" w:right="113"/>
              <w:rPr>
                <w:rFonts w:eastAsia="Calibri" w:cs="Arial"/>
                <w:sz w:val="24"/>
              </w:rPr>
            </w:pPr>
            <w:r w:rsidRPr="70D648D5">
              <w:rPr>
                <w:rFonts w:eastAsia="Calibri" w:cs="Arial"/>
                <w:sz w:val="24"/>
              </w:rPr>
              <w:t xml:space="preserve">R6: </w:t>
            </w:r>
            <w:r>
              <w:t xml:space="preserve">Failure to take advantage of opportunities that allow the HTA to be an efficient regulator responsive to change and aware of the impact that it has on the sectors and activities that it </w:t>
            </w:r>
            <w:r>
              <w:lastRenderedPageBreak/>
              <w:t>regulates to ensure public trust and confidence is maintained</w:t>
            </w:r>
          </w:p>
        </w:tc>
        <w:tc>
          <w:tcPr>
            <w:tcW w:w="1701" w:type="dxa"/>
            <w:shd w:val="clear" w:color="auto" w:fill="F2F2F2" w:themeFill="background1" w:themeFillShade="F2"/>
          </w:tcPr>
          <w:p w14:paraId="0EC46877" w14:textId="77777777" w:rsidR="002D37D6" w:rsidRPr="006776F7" w:rsidRDefault="002D37D6">
            <w:pPr>
              <w:spacing w:before="60" w:after="40"/>
              <w:ind w:left="113" w:right="113"/>
              <w:rPr>
                <w:rFonts w:eastAsia="Calibri" w:cs="Arial"/>
                <w:sz w:val="24"/>
              </w:rPr>
            </w:pPr>
            <w:r w:rsidRPr="006776F7">
              <w:rPr>
                <w:rFonts w:eastAsia="Calibri" w:cs="Arial"/>
                <w:sz w:val="24"/>
              </w:rPr>
              <w:lastRenderedPageBreak/>
              <w:t>Development (a-d) objectives</w:t>
            </w:r>
          </w:p>
        </w:tc>
        <w:tc>
          <w:tcPr>
            <w:tcW w:w="1275" w:type="dxa"/>
            <w:shd w:val="clear" w:color="auto" w:fill="FFFF00"/>
          </w:tcPr>
          <w:p w14:paraId="1FE8586D" w14:textId="77777777" w:rsidR="002D37D6" w:rsidRPr="006776F7" w:rsidRDefault="002D37D6">
            <w:pPr>
              <w:tabs>
                <w:tab w:val="left" w:pos="373"/>
                <w:tab w:val="left" w:pos="656"/>
              </w:tabs>
              <w:spacing w:before="60" w:after="40"/>
              <w:ind w:left="113" w:right="113"/>
              <w:rPr>
                <w:rFonts w:eastAsia="Calibri" w:cs="Arial"/>
                <w:b/>
                <w:sz w:val="24"/>
              </w:rPr>
            </w:pPr>
            <w:r>
              <w:rPr>
                <w:rFonts w:eastAsia="Calibri" w:cs="Arial"/>
                <w:b/>
                <w:bCs/>
                <w:sz w:val="24"/>
              </w:rPr>
              <w:t>9 - Medium</w:t>
            </w:r>
          </w:p>
        </w:tc>
        <w:tc>
          <w:tcPr>
            <w:tcW w:w="1560" w:type="dxa"/>
            <w:shd w:val="clear" w:color="auto" w:fill="F2F2F2" w:themeFill="background1" w:themeFillShade="F2"/>
          </w:tcPr>
          <w:p w14:paraId="2F95141B" w14:textId="77777777" w:rsidR="002D37D6" w:rsidRPr="00B361EB" w:rsidRDefault="002D37D6">
            <w:pPr>
              <w:spacing w:before="60" w:after="40"/>
              <w:ind w:left="113" w:right="113"/>
              <w:rPr>
                <w:rFonts w:eastAsia="Calibri" w:cs="Arial"/>
              </w:rPr>
            </w:pPr>
            <w:r w:rsidRPr="00B361EB">
              <w:rPr>
                <w:rFonts w:eastAsia="Calibri" w:cs="Arial"/>
              </w:rPr>
              <w:t>Director of Data, Technology and Development</w:t>
            </w:r>
          </w:p>
        </w:tc>
        <w:tc>
          <w:tcPr>
            <w:tcW w:w="1275" w:type="dxa"/>
            <w:shd w:val="clear" w:color="auto" w:fill="F2F2F2" w:themeFill="background1" w:themeFillShade="F2"/>
          </w:tcPr>
          <w:p w14:paraId="053126BB" w14:textId="77777777" w:rsidR="002D37D6" w:rsidRPr="006776F7" w:rsidRDefault="002D37D6">
            <w:pPr>
              <w:spacing w:before="60" w:after="40"/>
              <w:ind w:left="113" w:right="113"/>
              <w:rPr>
                <w:rFonts w:eastAsia="Calibri" w:cs="Arial"/>
                <w:sz w:val="24"/>
              </w:rPr>
            </w:pPr>
            <w:r w:rsidRPr="76F99C24">
              <w:rPr>
                <w:rFonts w:eastAsia="Calibri" w:cs="Arial"/>
                <w:sz w:val="24"/>
              </w:rPr>
              <w:t>A</w:t>
            </w:r>
            <w:r>
              <w:rPr>
                <w:rFonts w:eastAsia="Calibri" w:cs="Arial"/>
                <w:sz w:val="24"/>
              </w:rPr>
              <w:t>t</w:t>
            </w:r>
            <w:r w:rsidRPr="76F99C24">
              <w:rPr>
                <w:rFonts w:eastAsia="Calibri" w:cs="Arial"/>
                <w:sz w:val="24"/>
              </w:rPr>
              <w:t xml:space="preserve"> </w:t>
            </w:r>
            <w:r w:rsidRPr="006776F7">
              <w:rPr>
                <w:rFonts w:eastAsia="Calibri" w:cs="Arial"/>
                <w:sz w:val="24"/>
              </w:rPr>
              <w:t>tolerance</w:t>
            </w:r>
          </w:p>
        </w:tc>
        <w:tc>
          <w:tcPr>
            <w:tcW w:w="1418" w:type="dxa"/>
            <w:shd w:val="clear" w:color="auto" w:fill="F2F2F2" w:themeFill="background1" w:themeFillShade="F2"/>
          </w:tcPr>
          <w:p w14:paraId="49A77C05" w14:textId="77777777" w:rsidR="002D37D6" w:rsidRDefault="002D37D6">
            <w:pPr>
              <w:spacing w:before="60" w:after="40"/>
              <w:ind w:left="113" w:right="113"/>
              <w:rPr>
                <w:rFonts w:eastAsia="Wingdings" w:cs="Arial"/>
                <w:sz w:val="24"/>
              </w:rPr>
            </w:pPr>
          </w:p>
          <w:p w14:paraId="394DAC7A" w14:textId="77777777" w:rsidR="002D37D6" w:rsidRDefault="002D37D6">
            <w:pPr>
              <w:spacing w:before="60" w:after="40"/>
              <w:ind w:left="113" w:right="113"/>
              <w:rPr>
                <w:rFonts w:eastAsia="Wingdings" w:cs="Arial"/>
                <w:sz w:val="24"/>
              </w:rPr>
            </w:pPr>
            <w:r>
              <w:rPr>
                <w:rFonts w:eastAsia="Wingdings" w:cs="Arial"/>
                <w:b/>
                <w:bCs/>
                <w:sz w:val="24"/>
              </w:rPr>
              <w:t>9</w:t>
            </w:r>
          </w:p>
        </w:tc>
        <w:tc>
          <w:tcPr>
            <w:tcW w:w="1276" w:type="dxa"/>
            <w:shd w:val="clear" w:color="auto" w:fill="F2F2F2" w:themeFill="background1" w:themeFillShade="F2"/>
          </w:tcPr>
          <w:p w14:paraId="73DE83EE" w14:textId="77777777" w:rsidR="002D37D6" w:rsidRPr="006776F7" w:rsidRDefault="002D37D6">
            <w:pPr>
              <w:spacing w:before="60" w:after="40"/>
              <w:ind w:left="113" w:right="113"/>
              <w:rPr>
                <w:rFonts w:eastAsia="Calibri" w:cs="Arial"/>
                <w:bCs/>
                <w:sz w:val="24"/>
              </w:rPr>
            </w:pPr>
            <w:r w:rsidRPr="006776F7">
              <w:rPr>
                <w:rFonts w:ascii="Wingdings" w:eastAsia="Wingdings" w:hAnsi="Wingdings" w:cs="Wingdings"/>
                <w:sz w:val="24"/>
              </w:rPr>
              <w:t>ó</w:t>
            </w:r>
            <w:r w:rsidRPr="0031320E">
              <w:rPr>
                <w:rFonts w:ascii="Wingdings" w:eastAsia="Wingdings" w:hAnsi="Wingdings" w:cs="Wingdings"/>
                <w:sz w:val="24"/>
              </w:rPr>
              <w:t>óó</w:t>
            </w:r>
            <w:r w:rsidRPr="006776F7">
              <w:rPr>
                <w:rFonts w:ascii="Wingdings" w:eastAsia="Wingdings" w:hAnsi="Wingdings" w:cs="Wingdings"/>
                <w:sz w:val="24"/>
              </w:rPr>
              <w:t>ò</w:t>
            </w:r>
          </w:p>
        </w:tc>
      </w:tr>
      <w:tr w:rsidR="009657C0" w:rsidRPr="006776F7" w14:paraId="38B01DB7" w14:textId="77777777">
        <w:tc>
          <w:tcPr>
            <w:tcW w:w="2411" w:type="dxa"/>
            <w:shd w:val="clear" w:color="auto" w:fill="F2F2F2" w:themeFill="background1" w:themeFillShade="F2"/>
          </w:tcPr>
          <w:p w14:paraId="33B53A56" w14:textId="70989503" w:rsidR="002D37D6" w:rsidRPr="00061A30" w:rsidRDefault="002D37D6">
            <w:pPr>
              <w:spacing w:before="60" w:after="40"/>
              <w:ind w:left="113" w:right="113"/>
              <w:rPr>
                <w:rFonts w:eastAsia="Calibri" w:cs="Arial"/>
                <w:strike/>
                <w:sz w:val="24"/>
              </w:rPr>
            </w:pPr>
            <w:r w:rsidRPr="002D5FDB">
              <w:rPr>
                <w:rFonts w:eastAsia="Calibri" w:cs="Arial"/>
                <w:sz w:val="24"/>
              </w:rPr>
              <w:t>R7</w:t>
            </w:r>
            <w:r w:rsidR="00ED75C9">
              <w:rPr>
                <w:rFonts w:eastAsia="Calibri" w:cs="Arial"/>
                <w:sz w:val="24"/>
              </w:rPr>
              <w:t>:</w:t>
            </w:r>
            <w:r>
              <w:rPr>
                <w:rFonts w:eastAsia="Calibri"/>
              </w:rPr>
              <w:t xml:space="preserve"> Failure to optimise the safe use of existing and </w:t>
            </w:r>
            <w:r>
              <w:t>emerging</w:t>
            </w:r>
            <w:r>
              <w:rPr>
                <w:rFonts w:eastAsia="Calibri"/>
              </w:rPr>
              <w:t xml:space="preserve"> digital data and technology</w:t>
            </w:r>
          </w:p>
        </w:tc>
        <w:tc>
          <w:tcPr>
            <w:tcW w:w="1701" w:type="dxa"/>
            <w:shd w:val="clear" w:color="auto" w:fill="F2F2F2" w:themeFill="background1" w:themeFillShade="F2"/>
          </w:tcPr>
          <w:p w14:paraId="4A8BB36F" w14:textId="77777777" w:rsidR="002D37D6" w:rsidRPr="002D5FDB" w:rsidRDefault="002D37D6">
            <w:pPr>
              <w:spacing w:before="60" w:after="40"/>
              <w:ind w:left="113" w:right="113"/>
              <w:rPr>
                <w:rFonts w:eastAsia="Calibri" w:cs="Arial"/>
                <w:sz w:val="24"/>
              </w:rPr>
            </w:pPr>
            <w:r w:rsidRPr="002D5FDB">
              <w:rPr>
                <w:rFonts w:eastAsia="Calibri" w:cs="Arial"/>
                <w:sz w:val="24"/>
              </w:rPr>
              <w:t>Delivery (a-e), Development (a-d)</w:t>
            </w:r>
          </w:p>
          <w:p w14:paraId="6C6F7A05" w14:textId="77777777" w:rsidR="002D37D6" w:rsidRPr="00061A30" w:rsidRDefault="002D37D6">
            <w:pPr>
              <w:spacing w:before="60" w:after="40"/>
              <w:ind w:left="113" w:right="113"/>
              <w:rPr>
                <w:rFonts w:eastAsia="Calibri" w:cs="Arial"/>
                <w:strike/>
                <w:sz w:val="24"/>
              </w:rPr>
            </w:pPr>
            <w:r w:rsidRPr="002D5FDB">
              <w:rPr>
                <w:rFonts w:eastAsia="Calibri" w:cs="Arial"/>
                <w:sz w:val="24"/>
              </w:rPr>
              <w:t>Deployment (a, c and d)</w:t>
            </w:r>
          </w:p>
        </w:tc>
        <w:tc>
          <w:tcPr>
            <w:tcW w:w="1275" w:type="dxa"/>
            <w:shd w:val="clear" w:color="auto" w:fill="FFC000"/>
          </w:tcPr>
          <w:p w14:paraId="0BA903B6" w14:textId="77777777" w:rsidR="002D37D6" w:rsidRPr="002D5FDB" w:rsidRDefault="002D37D6">
            <w:pPr>
              <w:tabs>
                <w:tab w:val="left" w:pos="373"/>
                <w:tab w:val="left" w:pos="656"/>
              </w:tabs>
              <w:spacing w:before="60" w:after="40"/>
              <w:ind w:left="113" w:right="113"/>
              <w:rPr>
                <w:rFonts w:eastAsia="Calibri" w:cs="Arial"/>
                <w:b/>
                <w:sz w:val="24"/>
              </w:rPr>
            </w:pPr>
            <w:r w:rsidRPr="002D5FDB">
              <w:rPr>
                <w:rFonts w:eastAsia="Calibri" w:cs="Arial"/>
                <w:b/>
                <w:sz w:val="24"/>
              </w:rPr>
              <w:t>12 - High</w:t>
            </w:r>
          </w:p>
        </w:tc>
        <w:tc>
          <w:tcPr>
            <w:tcW w:w="1560" w:type="dxa"/>
            <w:shd w:val="clear" w:color="auto" w:fill="F2F2F2" w:themeFill="background1" w:themeFillShade="F2"/>
          </w:tcPr>
          <w:p w14:paraId="6E001430" w14:textId="77777777" w:rsidR="002D37D6" w:rsidRPr="002D5FDB" w:rsidRDefault="002D37D6">
            <w:pPr>
              <w:spacing w:before="60" w:after="40"/>
              <w:ind w:left="113" w:right="113"/>
              <w:rPr>
                <w:rFonts w:eastAsia="Calibri" w:cs="Arial"/>
              </w:rPr>
            </w:pPr>
            <w:r w:rsidRPr="002D5FDB">
              <w:rPr>
                <w:rFonts w:eastAsia="Calibri" w:cs="Arial"/>
              </w:rPr>
              <w:t>Director of Data, Technology and Development</w:t>
            </w:r>
          </w:p>
        </w:tc>
        <w:tc>
          <w:tcPr>
            <w:tcW w:w="1275" w:type="dxa"/>
            <w:shd w:val="clear" w:color="auto" w:fill="F2F2F2" w:themeFill="background1" w:themeFillShade="F2"/>
          </w:tcPr>
          <w:p w14:paraId="141362B0" w14:textId="77777777" w:rsidR="002D37D6" w:rsidRPr="002D5FDB" w:rsidRDefault="002D37D6">
            <w:pPr>
              <w:spacing w:before="60" w:after="40"/>
              <w:ind w:left="113" w:right="113"/>
              <w:rPr>
                <w:rFonts w:eastAsia="Calibri" w:cs="Arial"/>
                <w:sz w:val="24"/>
              </w:rPr>
            </w:pPr>
            <w:r w:rsidRPr="002D5FDB">
              <w:rPr>
                <w:rFonts w:eastAsia="Calibri" w:cs="Arial"/>
                <w:sz w:val="24"/>
              </w:rPr>
              <w:t>Above tolerance</w:t>
            </w:r>
          </w:p>
        </w:tc>
        <w:tc>
          <w:tcPr>
            <w:tcW w:w="1418" w:type="dxa"/>
            <w:shd w:val="clear" w:color="auto" w:fill="F2F2F2" w:themeFill="background1" w:themeFillShade="F2"/>
          </w:tcPr>
          <w:p w14:paraId="46BDA71F" w14:textId="77777777" w:rsidR="002D37D6" w:rsidRPr="00061A30" w:rsidRDefault="002D37D6">
            <w:pPr>
              <w:spacing w:before="60" w:after="40"/>
              <w:ind w:left="113" w:right="113"/>
              <w:rPr>
                <w:rFonts w:eastAsia="Wingdings" w:cs="Arial"/>
                <w:strike/>
                <w:sz w:val="24"/>
              </w:rPr>
            </w:pPr>
          </w:p>
          <w:p w14:paraId="74C1180A" w14:textId="77777777" w:rsidR="002D37D6" w:rsidRPr="000575EC" w:rsidRDefault="002D37D6">
            <w:pPr>
              <w:spacing w:before="60" w:after="40"/>
              <w:ind w:left="113" w:right="113"/>
              <w:rPr>
                <w:rFonts w:eastAsia="Wingdings" w:cs="Arial"/>
                <w:sz w:val="24"/>
              </w:rPr>
            </w:pPr>
            <w:r w:rsidRPr="000575EC">
              <w:rPr>
                <w:rFonts w:eastAsia="Wingdings" w:cs="Arial"/>
                <w:b/>
                <w:sz w:val="24"/>
              </w:rPr>
              <w:t>9</w:t>
            </w:r>
          </w:p>
        </w:tc>
        <w:tc>
          <w:tcPr>
            <w:tcW w:w="1276" w:type="dxa"/>
            <w:shd w:val="clear" w:color="auto" w:fill="F2F2F2" w:themeFill="background1" w:themeFillShade="F2"/>
          </w:tcPr>
          <w:p w14:paraId="2EC43849" w14:textId="77777777" w:rsidR="002D37D6" w:rsidRPr="002D5FDB" w:rsidRDefault="002D37D6">
            <w:pPr>
              <w:spacing w:before="60" w:after="40"/>
              <w:ind w:left="113" w:right="113"/>
              <w:rPr>
                <w:rFonts w:ascii="Wingdings" w:eastAsia="Wingdings" w:hAnsi="Wingdings" w:cs="Wingdings"/>
                <w:sz w:val="24"/>
              </w:rPr>
            </w:pPr>
            <w:r w:rsidRPr="002D5FDB">
              <w:rPr>
                <w:rFonts w:ascii="Wingdings" w:eastAsia="Wingdings" w:hAnsi="Wingdings" w:cs="Wingdings"/>
                <w:sz w:val="24"/>
              </w:rPr>
              <w:t>óóñó</w:t>
            </w:r>
          </w:p>
        </w:tc>
      </w:tr>
      <w:tr w:rsidR="009657C0" w:rsidRPr="006776F7" w14:paraId="79AF2830" w14:textId="77777777">
        <w:tc>
          <w:tcPr>
            <w:tcW w:w="2411" w:type="dxa"/>
            <w:shd w:val="clear" w:color="auto" w:fill="F2F2F2" w:themeFill="background1" w:themeFillShade="F2"/>
          </w:tcPr>
          <w:p w14:paraId="5770BD1C" w14:textId="77777777" w:rsidR="002D37D6" w:rsidRPr="00C553AF" w:rsidRDefault="002D37D6">
            <w:pPr>
              <w:spacing w:before="60" w:after="40"/>
              <w:ind w:left="113" w:right="113"/>
              <w:rPr>
                <w:rFonts w:eastAsia="Calibri" w:cs="Arial"/>
                <w:strike/>
                <w:sz w:val="24"/>
              </w:rPr>
            </w:pPr>
            <w:r w:rsidRPr="006776F7">
              <w:rPr>
                <w:rFonts w:eastAsia="Calibri" w:cs="Arial"/>
                <w:sz w:val="24"/>
              </w:rPr>
              <w:t>R</w:t>
            </w:r>
            <w:r>
              <w:rPr>
                <w:rFonts w:eastAsia="Calibri" w:cs="Arial"/>
                <w:sz w:val="24"/>
              </w:rPr>
              <w:t>8</w:t>
            </w:r>
            <w:r w:rsidRPr="006776F7">
              <w:rPr>
                <w:rFonts w:eastAsia="Calibri" w:cs="Arial"/>
                <w:sz w:val="24"/>
              </w:rPr>
              <w:t xml:space="preserve">: Failure to </w:t>
            </w:r>
            <w:r>
              <w:rPr>
                <w:rFonts w:eastAsia="Calibri" w:cs="Arial"/>
                <w:sz w:val="24"/>
              </w:rPr>
              <w:t>deliver the agreed Business Plan</w:t>
            </w:r>
          </w:p>
        </w:tc>
        <w:tc>
          <w:tcPr>
            <w:tcW w:w="1701" w:type="dxa"/>
            <w:shd w:val="clear" w:color="auto" w:fill="F2F2F2" w:themeFill="background1" w:themeFillShade="F2"/>
          </w:tcPr>
          <w:p w14:paraId="1B13CDE4" w14:textId="77777777" w:rsidR="002D37D6" w:rsidRPr="00C553AF" w:rsidRDefault="002D37D6">
            <w:pPr>
              <w:spacing w:before="60" w:after="40"/>
              <w:ind w:left="113" w:right="113"/>
              <w:rPr>
                <w:rFonts w:eastAsia="Calibri" w:cs="Arial"/>
                <w:strike/>
                <w:sz w:val="24"/>
              </w:rPr>
            </w:pPr>
            <w:r w:rsidRPr="006776F7">
              <w:rPr>
                <w:rFonts w:eastAsia="Calibri" w:cs="Arial"/>
                <w:sz w:val="24"/>
              </w:rPr>
              <w:t>Delivery, Development and Deployment objectives</w:t>
            </w:r>
          </w:p>
        </w:tc>
        <w:tc>
          <w:tcPr>
            <w:tcW w:w="1275" w:type="dxa"/>
            <w:shd w:val="clear" w:color="auto" w:fill="FFC000"/>
          </w:tcPr>
          <w:p w14:paraId="61CE5AD3" w14:textId="77777777" w:rsidR="002D37D6" w:rsidRPr="00C553AF" w:rsidRDefault="002D37D6">
            <w:pPr>
              <w:tabs>
                <w:tab w:val="left" w:pos="373"/>
                <w:tab w:val="left" w:pos="656"/>
              </w:tabs>
              <w:spacing w:before="60" w:after="40"/>
              <w:ind w:left="113" w:right="113"/>
              <w:rPr>
                <w:rFonts w:eastAsia="Calibri" w:cs="Arial"/>
                <w:b/>
                <w:bCs/>
                <w:strike/>
                <w:sz w:val="24"/>
              </w:rPr>
            </w:pPr>
            <w:r>
              <w:rPr>
                <w:rFonts w:eastAsia="Calibri" w:cs="Arial"/>
                <w:b/>
                <w:sz w:val="24"/>
              </w:rPr>
              <w:t>9</w:t>
            </w:r>
            <w:r w:rsidRPr="006776F7">
              <w:rPr>
                <w:rFonts w:eastAsia="Calibri" w:cs="Arial"/>
                <w:b/>
                <w:sz w:val="24"/>
              </w:rPr>
              <w:t xml:space="preserve"> - Medium</w:t>
            </w:r>
          </w:p>
        </w:tc>
        <w:tc>
          <w:tcPr>
            <w:tcW w:w="1560" w:type="dxa"/>
            <w:shd w:val="clear" w:color="auto" w:fill="F2F2F2" w:themeFill="background1" w:themeFillShade="F2"/>
          </w:tcPr>
          <w:p w14:paraId="447F36EE" w14:textId="77777777" w:rsidR="002D37D6" w:rsidRPr="00C553AF" w:rsidRDefault="002D37D6">
            <w:pPr>
              <w:spacing w:before="60" w:after="40"/>
              <w:ind w:left="113" w:right="113"/>
              <w:rPr>
                <w:rFonts w:eastAsia="Calibri" w:cs="Arial"/>
                <w:strike/>
              </w:rPr>
            </w:pPr>
            <w:r>
              <w:rPr>
                <w:rFonts w:eastAsia="Calibri" w:cs="Arial"/>
              </w:rPr>
              <w:t>Deputy Director of Performance and Corporate Governance</w:t>
            </w:r>
          </w:p>
        </w:tc>
        <w:tc>
          <w:tcPr>
            <w:tcW w:w="1275" w:type="dxa"/>
            <w:shd w:val="clear" w:color="auto" w:fill="F2F2F2" w:themeFill="background1" w:themeFillShade="F2"/>
          </w:tcPr>
          <w:p w14:paraId="5F6B1FFA" w14:textId="77777777" w:rsidR="002D37D6" w:rsidRPr="006776F7" w:rsidRDefault="002D37D6">
            <w:pPr>
              <w:spacing w:before="60" w:after="40"/>
              <w:ind w:left="113" w:right="113"/>
              <w:rPr>
                <w:rFonts w:eastAsia="Calibri" w:cs="Arial"/>
                <w:sz w:val="24"/>
              </w:rPr>
            </w:pPr>
            <w:r>
              <w:rPr>
                <w:rFonts w:eastAsia="Calibri" w:cs="Arial"/>
                <w:sz w:val="24"/>
              </w:rPr>
              <w:t>Above tolerance</w:t>
            </w:r>
          </w:p>
          <w:p w14:paraId="2BB699A8" w14:textId="77777777" w:rsidR="002D37D6" w:rsidRPr="00C553AF" w:rsidRDefault="002D37D6">
            <w:pPr>
              <w:spacing w:before="60" w:after="40"/>
              <w:ind w:left="113" w:right="113"/>
              <w:rPr>
                <w:rFonts w:eastAsia="Calibri" w:cs="Arial"/>
                <w:strike/>
                <w:sz w:val="24"/>
              </w:rPr>
            </w:pPr>
          </w:p>
        </w:tc>
        <w:tc>
          <w:tcPr>
            <w:tcW w:w="1418" w:type="dxa"/>
            <w:shd w:val="clear" w:color="auto" w:fill="F2F2F2" w:themeFill="background1" w:themeFillShade="F2"/>
          </w:tcPr>
          <w:p w14:paraId="173181B9" w14:textId="77777777" w:rsidR="002D37D6" w:rsidRDefault="002D37D6">
            <w:pPr>
              <w:spacing w:before="60" w:after="40"/>
              <w:ind w:left="113" w:right="113"/>
              <w:rPr>
                <w:rFonts w:eastAsia="Wingdings" w:cs="Arial"/>
                <w:b/>
                <w:bCs/>
                <w:sz w:val="24"/>
              </w:rPr>
            </w:pPr>
          </w:p>
          <w:p w14:paraId="614A58D1" w14:textId="77777777" w:rsidR="002D37D6" w:rsidRPr="00C553AF" w:rsidRDefault="002D37D6">
            <w:pPr>
              <w:spacing w:before="60" w:after="40"/>
              <w:ind w:left="113" w:right="113"/>
              <w:rPr>
                <w:rFonts w:eastAsia="Wingdings" w:cs="Arial"/>
                <w:strike/>
                <w:sz w:val="24"/>
              </w:rPr>
            </w:pPr>
            <w:r>
              <w:rPr>
                <w:rFonts w:eastAsia="Wingdings" w:cs="Arial"/>
                <w:b/>
                <w:bCs/>
                <w:sz w:val="24"/>
              </w:rPr>
              <w:t>6</w:t>
            </w:r>
          </w:p>
        </w:tc>
        <w:tc>
          <w:tcPr>
            <w:tcW w:w="1276" w:type="dxa"/>
            <w:shd w:val="clear" w:color="auto" w:fill="F2F2F2" w:themeFill="background1" w:themeFillShade="F2"/>
          </w:tcPr>
          <w:p w14:paraId="7C3E361E" w14:textId="77777777" w:rsidR="002D37D6" w:rsidRPr="00C553AF" w:rsidRDefault="002D37D6">
            <w:pPr>
              <w:spacing w:before="60" w:after="40"/>
              <w:ind w:left="113" w:right="113"/>
              <w:rPr>
                <w:rFonts w:ascii="Wingdings" w:eastAsia="Wingdings" w:hAnsi="Wingdings" w:cs="Wingdings"/>
                <w:strike/>
                <w:sz w:val="24"/>
              </w:rPr>
            </w:pPr>
            <w:r w:rsidRPr="006776F7">
              <w:rPr>
                <w:rFonts w:ascii="Wingdings" w:eastAsia="Wingdings" w:hAnsi="Wingdings" w:cs="Wingdings"/>
                <w:sz w:val="24"/>
              </w:rPr>
              <w:t>ó</w:t>
            </w:r>
          </w:p>
        </w:tc>
      </w:tr>
      <w:tr w:rsidR="009657C0" w:rsidRPr="006776F7" w14:paraId="416E0FAF" w14:textId="77777777">
        <w:tc>
          <w:tcPr>
            <w:tcW w:w="2411" w:type="dxa"/>
            <w:shd w:val="clear" w:color="auto" w:fill="F2F2F2" w:themeFill="background1" w:themeFillShade="F2"/>
          </w:tcPr>
          <w:p w14:paraId="4FA5AD0D" w14:textId="77777777" w:rsidR="002D37D6" w:rsidRPr="006776F7" w:rsidRDefault="002D37D6">
            <w:pPr>
              <w:spacing w:before="60" w:after="40"/>
              <w:ind w:left="113" w:right="113"/>
              <w:rPr>
                <w:rFonts w:eastAsia="Calibri" w:cs="Arial"/>
                <w:sz w:val="24"/>
              </w:rPr>
            </w:pPr>
            <w:r>
              <w:t>R9: F</w:t>
            </w:r>
            <w:r>
              <w:rPr>
                <w:rStyle w:val="ui-provider"/>
              </w:rPr>
              <w:t xml:space="preserve">ailure to adhere to our corporate responsibilities </w:t>
            </w:r>
          </w:p>
        </w:tc>
        <w:tc>
          <w:tcPr>
            <w:tcW w:w="1701" w:type="dxa"/>
            <w:shd w:val="clear" w:color="auto" w:fill="F2F2F2" w:themeFill="background1" w:themeFillShade="F2"/>
          </w:tcPr>
          <w:p w14:paraId="21ECB00E" w14:textId="77777777" w:rsidR="002D37D6" w:rsidRDefault="002D37D6">
            <w:pPr>
              <w:spacing w:before="60" w:after="40"/>
              <w:ind w:left="113" w:right="113"/>
              <w:rPr>
                <w:rFonts w:eastAsia="Calibri" w:cs="Arial"/>
                <w:sz w:val="24"/>
              </w:rPr>
            </w:pPr>
            <w:r w:rsidRPr="006776F7">
              <w:rPr>
                <w:rFonts w:eastAsia="Calibri" w:cs="Arial"/>
                <w:sz w:val="24"/>
              </w:rPr>
              <w:t>Delivery, Development and Deployment objectives</w:t>
            </w:r>
          </w:p>
        </w:tc>
        <w:tc>
          <w:tcPr>
            <w:tcW w:w="1275" w:type="dxa"/>
            <w:shd w:val="clear" w:color="auto" w:fill="FFC000"/>
          </w:tcPr>
          <w:p w14:paraId="102AC4E2" w14:textId="77777777" w:rsidR="002D37D6" w:rsidRDefault="002D37D6">
            <w:pPr>
              <w:tabs>
                <w:tab w:val="left" w:pos="373"/>
                <w:tab w:val="left" w:pos="656"/>
              </w:tabs>
              <w:spacing w:before="60" w:after="40"/>
              <w:ind w:left="113" w:right="113"/>
              <w:rPr>
                <w:rFonts w:eastAsia="Calibri" w:cs="Arial"/>
                <w:b/>
                <w:bCs/>
                <w:sz w:val="24"/>
              </w:rPr>
            </w:pPr>
            <w:r>
              <w:rPr>
                <w:rFonts w:eastAsia="Calibri" w:cs="Arial"/>
                <w:b/>
                <w:sz w:val="24"/>
              </w:rPr>
              <w:t>9</w:t>
            </w:r>
            <w:r w:rsidRPr="006776F7">
              <w:rPr>
                <w:rFonts w:eastAsia="Calibri" w:cs="Arial"/>
                <w:b/>
                <w:sz w:val="24"/>
              </w:rPr>
              <w:t xml:space="preserve"> - Medium</w:t>
            </w:r>
          </w:p>
        </w:tc>
        <w:tc>
          <w:tcPr>
            <w:tcW w:w="1560" w:type="dxa"/>
            <w:shd w:val="clear" w:color="auto" w:fill="F2F2F2" w:themeFill="background1" w:themeFillShade="F2"/>
          </w:tcPr>
          <w:p w14:paraId="53CFC3A1" w14:textId="77777777" w:rsidR="002D37D6" w:rsidRPr="00B361EB" w:rsidRDefault="002D37D6">
            <w:pPr>
              <w:spacing w:before="60" w:after="40"/>
              <w:ind w:left="113" w:right="113"/>
              <w:rPr>
                <w:rFonts w:eastAsia="Calibri" w:cs="Arial"/>
              </w:rPr>
            </w:pPr>
            <w:r>
              <w:rPr>
                <w:rFonts w:eastAsia="Calibri" w:cs="Arial"/>
              </w:rPr>
              <w:t>Director of Resources</w:t>
            </w:r>
          </w:p>
        </w:tc>
        <w:tc>
          <w:tcPr>
            <w:tcW w:w="1275" w:type="dxa"/>
            <w:shd w:val="clear" w:color="auto" w:fill="F2F2F2" w:themeFill="background1" w:themeFillShade="F2"/>
          </w:tcPr>
          <w:p w14:paraId="6490D3CC" w14:textId="77777777" w:rsidR="002D37D6" w:rsidRPr="006776F7" w:rsidRDefault="002D37D6">
            <w:pPr>
              <w:spacing w:before="60" w:after="40"/>
              <w:ind w:left="113" w:right="113"/>
              <w:rPr>
                <w:rFonts w:eastAsia="Calibri" w:cs="Arial"/>
                <w:sz w:val="24"/>
              </w:rPr>
            </w:pPr>
            <w:r>
              <w:rPr>
                <w:rFonts w:eastAsia="Calibri" w:cs="Arial"/>
                <w:sz w:val="24"/>
              </w:rPr>
              <w:t>Above tolerance</w:t>
            </w:r>
          </w:p>
          <w:p w14:paraId="231A30EC" w14:textId="77777777" w:rsidR="002D37D6" w:rsidRDefault="002D37D6">
            <w:pPr>
              <w:spacing w:before="60" w:after="40"/>
              <w:ind w:left="113" w:right="113"/>
              <w:rPr>
                <w:rFonts w:eastAsia="Calibri" w:cs="Arial"/>
                <w:sz w:val="24"/>
              </w:rPr>
            </w:pPr>
          </w:p>
        </w:tc>
        <w:tc>
          <w:tcPr>
            <w:tcW w:w="1418" w:type="dxa"/>
            <w:shd w:val="clear" w:color="auto" w:fill="F2F2F2" w:themeFill="background1" w:themeFillShade="F2"/>
          </w:tcPr>
          <w:p w14:paraId="3ED39238" w14:textId="77777777" w:rsidR="002D37D6" w:rsidRDefault="002D37D6">
            <w:pPr>
              <w:spacing w:before="60" w:after="40"/>
              <w:ind w:left="113" w:right="113"/>
              <w:rPr>
                <w:rFonts w:eastAsia="Wingdings" w:cs="Arial"/>
                <w:b/>
                <w:bCs/>
                <w:sz w:val="24"/>
              </w:rPr>
            </w:pPr>
          </w:p>
          <w:p w14:paraId="559D48EE" w14:textId="77777777" w:rsidR="002D37D6" w:rsidRDefault="002D37D6">
            <w:pPr>
              <w:spacing w:before="60" w:after="40"/>
              <w:ind w:left="113" w:right="113"/>
              <w:rPr>
                <w:rFonts w:eastAsia="Wingdings" w:cs="Arial"/>
                <w:b/>
                <w:bCs/>
                <w:sz w:val="24"/>
              </w:rPr>
            </w:pPr>
            <w:r>
              <w:rPr>
                <w:rFonts w:eastAsia="Wingdings" w:cs="Arial"/>
                <w:b/>
                <w:bCs/>
                <w:sz w:val="24"/>
              </w:rPr>
              <w:t>6</w:t>
            </w:r>
          </w:p>
        </w:tc>
        <w:tc>
          <w:tcPr>
            <w:tcW w:w="1276" w:type="dxa"/>
            <w:shd w:val="clear" w:color="auto" w:fill="F2F2F2" w:themeFill="background1" w:themeFillShade="F2"/>
          </w:tcPr>
          <w:p w14:paraId="0E03C375" w14:textId="77777777" w:rsidR="002D37D6" w:rsidRPr="006776F7" w:rsidRDefault="002D37D6">
            <w:pPr>
              <w:spacing w:before="60" w:after="40"/>
              <w:ind w:left="113" w:right="113"/>
              <w:rPr>
                <w:rFonts w:ascii="Wingdings" w:eastAsia="Wingdings" w:hAnsi="Wingdings" w:cs="Wingdings"/>
                <w:sz w:val="24"/>
              </w:rPr>
            </w:pPr>
            <w:r w:rsidRPr="006776F7">
              <w:rPr>
                <w:rFonts w:ascii="Wingdings" w:eastAsia="Wingdings" w:hAnsi="Wingdings" w:cs="Wingdings"/>
                <w:sz w:val="24"/>
              </w:rPr>
              <w:t>ó</w:t>
            </w:r>
          </w:p>
        </w:tc>
      </w:tr>
    </w:tbl>
    <w:p w14:paraId="365C7E8C" w14:textId="77777777" w:rsidR="002D37D6" w:rsidRPr="000777BB" w:rsidRDefault="002D37D6" w:rsidP="00A93E61">
      <w:pPr>
        <w:spacing w:before="0" w:after="0"/>
        <w:rPr>
          <w:rFonts w:cs="Arial"/>
          <w:sz w:val="20"/>
          <w:szCs w:val="20"/>
        </w:rPr>
      </w:pPr>
      <w:r w:rsidRPr="000777BB">
        <w:rPr>
          <w:rFonts w:eastAsia="Calibri"/>
          <w:sz w:val="20"/>
          <w:szCs w:val="20"/>
        </w:rPr>
        <w:t xml:space="preserve">* </w:t>
      </w:r>
      <w:r w:rsidRPr="000777BB">
        <w:rPr>
          <w:rFonts w:cs="Arial"/>
          <w:sz w:val="20"/>
          <w:szCs w:val="20"/>
        </w:rPr>
        <w:t xml:space="preserve">Strategic objectives 2021-2024: </w:t>
      </w:r>
    </w:p>
    <w:p w14:paraId="156F8FC3" w14:textId="77777777" w:rsidR="002D37D6" w:rsidRPr="000777BB" w:rsidRDefault="002D37D6" w:rsidP="00A93E61">
      <w:pPr>
        <w:spacing w:before="0"/>
        <w:rPr>
          <w:rFonts w:eastAsia="Calibri"/>
          <w:sz w:val="20"/>
          <w:szCs w:val="20"/>
        </w:rPr>
      </w:pPr>
      <w:r w:rsidRPr="000777BB">
        <w:rPr>
          <w:rFonts w:eastAsia="Calibri"/>
          <w:sz w:val="20"/>
          <w:szCs w:val="20"/>
        </w:rPr>
        <w:t>** This column tracks the four most recent reviews by SMT (Senior Management Team) (e.g.</w:t>
      </w:r>
      <w:r w:rsidRPr="000777BB">
        <w:rPr>
          <w:rFonts w:ascii="Wingdings" w:eastAsia="Wingdings" w:hAnsi="Wingdings" w:cs="Wingdings"/>
          <w:sz w:val="20"/>
          <w:szCs w:val="20"/>
        </w:rPr>
        <w:t>ñ</w:t>
      </w:r>
      <w:r w:rsidRPr="000777BB">
        <w:rPr>
          <w:rFonts w:ascii="Symbol" w:eastAsia="Symbol" w:hAnsi="Symbol" w:cs="Symbol"/>
          <w:sz w:val="20"/>
          <w:szCs w:val="20"/>
        </w:rPr>
        <w:t>Û</w:t>
      </w:r>
      <w:r w:rsidRPr="000777BB">
        <w:rPr>
          <w:rFonts w:ascii="Wingdings" w:eastAsia="Wingdings" w:hAnsi="Wingdings" w:cs="Wingdings"/>
          <w:sz w:val="20"/>
          <w:szCs w:val="20"/>
        </w:rPr>
        <w:t>ò</w:t>
      </w:r>
      <w:r w:rsidRPr="000777BB">
        <w:rPr>
          <w:rFonts w:ascii="Symbol" w:eastAsia="Symbol" w:hAnsi="Symbol" w:cs="Symbol"/>
          <w:sz w:val="20"/>
          <w:szCs w:val="20"/>
        </w:rPr>
        <w:t>Û</w:t>
      </w:r>
      <w:r w:rsidRPr="000777BB">
        <w:rPr>
          <w:rFonts w:eastAsia="Calibri"/>
          <w:sz w:val="20"/>
          <w:szCs w:val="20"/>
        </w:rPr>
        <w:t xml:space="preserve">). </w:t>
      </w:r>
    </w:p>
    <w:p w14:paraId="73EAE994" w14:textId="77777777" w:rsidR="002D37D6" w:rsidRDefault="002D37D6" w:rsidP="002D37D6">
      <w:pPr>
        <w:rPr>
          <w:rFonts w:eastAsia="Calibri"/>
          <w:sz w:val="24"/>
        </w:rPr>
      </w:pPr>
      <w:r>
        <w:rPr>
          <w:rFonts w:eastAsia="Calibri"/>
          <w:sz w:val="24"/>
        </w:rPr>
        <w:br w:type="page"/>
      </w:r>
    </w:p>
    <w:p w14:paraId="763A5B90" w14:textId="5C61B680" w:rsidR="002D37D6" w:rsidRPr="005241B8" w:rsidRDefault="002D37D6" w:rsidP="002D37D6">
      <w:pPr>
        <w:pStyle w:val="Heading2"/>
        <w:rPr>
          <w:rFonts w:eastAsia="Times New Roman" w:cs="Times New Roman"/>
          <w:b w:val="0"/>
          <w:color w:val="auto"/>
          <w:szCs w:val="24"/>
        </w:rPr>
      </w:pPr>
      <w:r w:rsidRPr="005241B8">
        <w:rPr>
          <w:color w:val="auto"/>
          <w:szCs w:val="24"/>
        </w:rPr>
        <w:lastRenderedPageBreak/>
        <w:t>R1: There is a risk that we fail to regulate in a manner that maintains public safety and confidence and is appropriate</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4"/>
        <w:gridCol w:w="1725"/>
        <w:gridCol w:w="1725"/>
        <w:gridCol w:w="1724"/>
        <w:gridCol w:w="1725"/>
        <w:gridCol w:w="1725"/>
      </w:tblGrid>
      <w:tr w:rsidR="00FE7291" w:rsidRPr="005241B8" w14:paraId="45E60D1F" w14:textId="77777777">
        <w:tc>
          <w:tcPr>
            <w:tcW w:w="51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7D7ABD5" w14:textId="77777777" w:rsidR="002D37D6" w:rsidRPr="005241B8" w:rsidRDefault="002D37D6">
            <w:pPr>
              <w:spacing w:before="120" w:after="120"/>
              <w:ind w:left="41"/>
              <w:rPr>
                <w:rFonts w:eastAsia="Calibri" w:cs="Arial"/>
                <w:b/>
                <w:sz w:val="24"/>
              </w:rPr>
            </w:pPr>
            <w:r w:rsidRPr="005241B8">
              <w:rPr>
                <w:rFonts w:eastAsia="Calibri" w:cs="Arial"/>
                <w:b/>
                <w:sz w:val="24"/>
              </w:rPr>
              <w:t>Inherent risk level:</w:t>
            </w:r>
          </w:p>
        </w:tc>
        <w:tc>
          <w:tcPr>
            <w:tcW w:w="51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E7E26B" w14:textId="77777777" w:rsidR="002D37D6" w:rsidRPr="005241B8" w:rsidRDefault="002D37D6">
            <w:pPr>
              <w:spacing w:before="120" w:after="120"/>
              <w:ind w:left="41"/>
              <w:rPr>
                <w:rFonts w:eastAsia="Calibri" w:cs="Arial"/>
                <w:b/>
                <w:sz w:val="24"/>
              </w:rPr>
            </w:pPr>
            <w:r w:rsidRPr="005241B8">
              <w:rPr>
                <w:rFonts w:eastAsia="Calibri" w:cs="Arial"/>
                <w:b/>
                <w:sz w:val="24"/>
              </w:rPr>
              <w:t>Residual risk level:</w:t>
            </w:r>
          </w:p>
        </w:tc>
      </w:tr>
      <w:tr w:rsidR="009657C0" w:rsidRPr="005241B8" w14:paraId="497F50B3" w14:textId="77777777">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hideMark/>
          </w:tcPr>
          <w:p w14:paraId="25922778" w14:textId="77777777" w:rsidR="002D37D6" w:rsidRPr="005241B8" w:rsidRDefault="002D37D6">
            <w:pPr>
              <w:spacing w:before="120" w:after="120"/>
              <w:ind w:left="40"/>
              <w:rPr>
                <w:rFonts w:eastAsia="Calibri" w:cs="Arial"/>
                <w:sz w:val="24"/>
              </w:rPr>
            </w:pPr>
            <w:r w:rsidRPr="005241B8">
              <w:rPr>
                <w:rFonts w:eastAsia="Calibri" w:cs="Arial"/>
                <w:sz w:val="24"/>
              </w:rPr>
              <w:t xml:space="preserve">Likelihood </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hideMark/>
          </w:tcPr>
          <w:p w14:paraId="7300EBD3" w14:textId="77777777" w:rsidR="002D37D6" w:rsidRPr="005241B8" w:rsidRDefault="002D37D6">
            <w:pPr>
              <w:spacing w:before="120" w:after="120"/>
              <w:ind w:left="40"/>
              <w:rPr>
                <w:rFonts w:eastAsia="Calibri" w:cs="Arial"/>
                <w:sz w:val="24"/>
              </w:rPr>
            </w:pPr>
            <w:r w:rsidRPr="005241B8">
              <w:rPr>
                <w:rFonts w:eastAsia="Calibri" w:cs="Arial"/>
                <w:sz w:val="24"/>
              </w:rPr>
              <w:t xml:space="preserve">Impact </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hideMark/>
          </w:tcPr>
          <w:p w14:paraId="0563F791" w14:textId="77777777" w:rsidR="002D37D6" w:rsidRPr="005241B8" w:rsidRDefault="002D37D6">
            <w:pPr>
              <w:spacing w:before="120" w:after="120"/>
              <w:ind w:left="40"/>
              <w:rPr>
                <w:rFonts w:eastAsia="Calibri" w:cs="Arial"/>
                <w:sz w:val="24"/>
              </w:rPr>
            </w:pPr>
            <w:r w:rsidRPr="005241B8">
              <w:rPr>
                <w:rFonts w:eastAsia="Calibri" w:cs="Arial"/>
                <w:sz w:val="24"/>
              </w:rPr>
              <w:t>Inherent risk</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tcPr>
          <w:p w14:paraId="671D172B" w14:textId="77777777" w:rsidR="002D37D6" w:rsidRPr="005241B8" w:rsidRDefault="002D37D6">
            <w:pPr>
              <w:spacing w:before="120" w:after="120"/>
              <w:ind w:left="40"/>
              <w:rPr>
                <w:rFonts w:eastAsia="Calibri" w:cs="Arial"/>
                <w:sz w:val="24"/>
              </w:rPr>
            </w:pPr>
            <w:r w:rsidRPr="005241B8">
              <w:rPr>
                <w:rFonts w:eastAsia="Calibri" w:cs="Arial"/>
                <w:b/>
                <w:sz w:val="24"/>
              </w:rPr>
              <w:t>Likelihood</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tcPr>
          <w:p w14:paraId="620EADE0" w14:textId="77777777" w:rsidR="002D37D6" w:rsidRPr="005241B8" w:rsidRDefault="002D37D6">
            <w:pPr>
              <w:spacing w:before="120" w:after="120"/>
              <w:ind w:left="40"/>
              <w:rPr>
                <w:rFonts w:eastAsia="Calibri" w:cs="Arial"/>
                <w:b/>
                <w:sz w:val="24"/>
              </w:rPr>
            </w:pPr>
            <w:r w:rsidRPr="005241B8">
              <w:rPr>
                <w:rFonts w:eastAsia="Calibri" w:cs="Arial"/>
                <w:b/>
                <w:sz w:val="24"/>
              </w:rPr>
              <w:t>Impact</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tcPr>
          <w:p w14:paraId="683161BC" w14:textId="77777777" w:rsidR="002D37D6" w:rsidRPr="005241B8" w:rsidRDefault="002D37D6">
            <w:pPr>
              <w:spacing w:before="120" w:after="120"/>
              <w:ind w:left="40"/>
              <w:rPr>
                <w:rFonts w:eastAsia="Calibri" w:cs="Arial"/>
                <w:b/>
                <w:sz w:val="24"/>
              </w:rPr>
            </w:pPr>
            <w:r w:rsidRPr="005241B8">
              <w:rPr>
                <w:rFonts w:eastAsia="Calibri" w:cs="Arial"/>
                <w:b/>
                <w:sz w:val="24"/>
              </w:rPr>
              <w:t>Residual risk</w:t>
            </w:r>
          </w:p>
        </w:tc>
      </w:tr>
      <w:tr w:rsidR="009657C0" w:rsidRPr="005241B8" w14:paraId="67658B92" w14:textId="77777777">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7AFFB" w14:textId="77777777" w:rsidR="002D37D6" w:rsidRPr="005241B8" w:rsidRDefault="002D37D6">
            <w:pPr>
              <w:spacing w:before="120" w:after="120"/>
              <w:ind w:left="40"/>
              <w:rPr>
                <w:rFonts w:eastAsia="Calibri" w:cs="Arial"/>
                <w:sz w:val="24"/>
              </w:rPr>
            </w:pPr>
            <w:r w:rsidRPr="005241B8">
              <w:rPr>
                <w:rFonts w:eastAsia="Calibri" w:cs="Arial"/>
                <w:sz w:val="24"/>
              </w:rPr>
              <w:t>3</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6F891" w14:textId="77777777" w:rsidR="002D37D6" w:rsidRPr="005241B8" w:rsidRDefault="002D37D6">
            <w:pPr>
              <w:spacing w:before="120" w:after="120"/>
              <w:ind w:left="40"/>
              <w:rPr>
                <w:rFonts w:eastAsia="Calibri" w:cs="Arial"/>
                <w:sz w:val="24"/>
              </w:rPr>
            </w:pPr>
            <w:r w:rsidRPr="005241B8">
              <w:rPr>
                <w:rFonts w:eastAsia="Calibri" w:cs="Arial"/>
                <w:sz w:val="24"/>
              </w:rPr>
              <w:t>5</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00EA97FD" w14:textId="77777777" w:rsidR="002D37D6" w:rsidRPr="005241B8" w:rsidRDefault="002D37D6">
            <w:pPr>
              <w:spacing w:before="120" w:after="120"/>
              <w:ind w:left="40"/>
              <w:rPr>
                <w:rFonts w:eastAsia="Calibri" w:cs="Arial"/>
                <w:sz w:val="24"/>
              </w:rPr>
            </w:pPr>
            <w:r w:rsidRPr="005241B8">
              <w:rPr>
                <w:rFonts w:eastAsia="Calibri" w:cs="Arial"/>
                <w:sz w:val="24"/>
              </w:rPr>
              <w:t>15 - High</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D5790F" w14:textId="77777777" w:rsidR="002D37D6" w:rsidRPr="005241B8" w:rsidRDefault="002D37D6">
            <w:pPr>
              <w:spacing w:before="120" w:after="120"/>
              <w:ind w:left="40"/>
              <w:rPr>
                <w:rFonts w:eastAsia="Calibri" w:cs="Arial"/>
                <w:b/>
                <w:sz w:val="24"/>
              </w:rPr>
            </w:pPr>
            <w:r w:rsidRPr="1C9275E6">
              <w:rPr>
                <w:rFonts w:eastAsia="Calibri" w:cs="Arial"/>
                <w:b/>
                <w:bCs/>
                <w:sz w:val="24"/>
              </w:rPr>
              <w:t>3</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921E7A" w14:textId="77777777" w:rsidR="002D37D6" w:rsidRPr="005241B8" w:rsidRDefault="002D37D6">
            <w:pPr>
              <w:spacing w:before="120" w:after="120"/>
              <w:ind w:left="40"/>
              <w:rPr>
                <w:rFonts w:eastAsia="Calibri" w:cs="Arial"/>
                <w:b/>
                <w:sz w:val="24"/>
              </w:rPr>
            </w:pPr>
            <w:r>
              <w:rPr>
                <w:rFonts w:eastAsia="Calibri" w:cs="Arial"/>
                <w:b/>
                <w:sz w:val="24"/>
              </w:rPr>
              <w:t>3</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0AA7EE16" w14:textId="77777777" w:rsidR="002D37D6" w:rsidRPr="005241B8" w:rsidRDefault="002D37D6">
            <w:pPr>
              <w:spacing w:before="120" w:after="120"/>
              <w:ind w:left="40"/>
              <w:rPr>
                <w:rFonts w:eastAsia="Calibri" w:cs="Arial"/>
                <w:b/>
                <w:sz w:val="24"/>
              </w:rPr>
            </w:pPr>
            <w:r>
              <w:rPr>
                <w:rFonts w:eastAsia="Calibri" w:cs="Arial"/>
                <w:b/>
                <w:sz w:val="24"/>
              </w:rPr>
              <w:t>9 - Medium</w:t>
            </w:r>
          </w:p>
        </w:tc>
      </w:tr>
      <w:tr w:rsidR="009657C0" w:rsidRPr="005241B8" w14:paraId="5DC6B2C2" w14:textId="77777777">
        <w:tc>
          <w:tcPr>
            <w:tcW w:w="862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DA8481D" w14:textId="77777777" w:rsidR="002D37D6" w:rsidRPr="005241B8" w:rsidRDefault="002D37D6">
            <w:pPr>
              <w:spacing w:before="120" w:after="120"/>
              <w:ind w:left="40"/>
              <w:rPr>
                <w:rFonts w:eastAsia="Calibri" w:cs="Arial"/>
                <w:b/>
                <w:sz w:val="24"/>
              </w:rPr>
            </w:pPr>
            <w:r w:rsidRPr="005241B8">
              <w:rPr>
                <w:rFonts w:eastAsia="Calibri" w:cs="Arial"/>
                <w:b/>
                <w:sz w:val="24"/>
              </w:rPr>
              <w:t xml:space="preserve">Tolerance threshold: </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7BE365D6" w14:textId="77777777" w:rsidR="002D37D6" w:rsidRPr="005241B8" w:rsidRDefault="002D37D6">
            <w:pPr>
              <w:spacing w:before="120" w:after="120"/>
              <w:ind w:left="40"/>
              <w:rPr>
                <w:rFonts w:eastAsia="Calibri" w:cs="Arial"/>
                <w:b/>
                <w:sz w:val="24"/>
              </w:rPr>
            </w:pPr>
            <w:r w:rsidRPr="005241B8">
              <w:rPr>
                <w:rFonts w:eastAsia="Calibri" w:cs="Arial"/>
                <w:b/>
                <w:sz w:val="24"/>
              </w:rPr>
              <w:t>10 - Medium</w:t>
            </w:r>
          </w:p>
        </w:tc>
      </w:tr>
    </w:tbl>
    <w:p w14:paraId="55F7CE5E" w14:textId="77777777" w:rsidR="002D37D6" w:rsidRPr="005241B8" w:rsidRDefault="002D37D6" w:rsidP="002D37D6">
      <w:pPr>
        <w:rPr>
          <w:rFonts w:eastAsia="Calibri"/>
          <w:b/>
          <w:sz w:val="24"/>
        </w:rPr>
      </w:pPr>
    </w:p>
    <w:tbl>
      <w:tblPr>
        <w:tblW w:w="10348"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28" w:type="dxa"/>
          <w:right w:w="28" w:type="dxa"/>
        </w:tblCellMar>
        <w:tblLook w:val="04A0" w:firstRow="1" w:lastRow="0" w:firstColumn="1" w:lastColumn="0" w:noHBand="0" w:noVBand="1"/>
      </w:tblPr>
      <w:tblGrid>
        <w:gridCol w:w="10348"/>
      </w:tblGrid>
      <w:tr w:rsidR="00FE7291" w:rsidRPr="005241B8" w14:paraId="1ADF6CC5" w14:textId="77777777">
        <w:trPr>
          <w:trHeight w:val="510"/>
        </w:trPr>
        <w:tc>
          <w:tcPr>
            <w:tcW w:w="10348" w:type="dxa"/>
          </w:tcPr>
          <w:p w14:paraId="1EB4D86C" w14:textId="77777777" w:rsidR="002D37D6" w:rsidRPr="005241B8" w:rsidRDefault="002D37D6">
            <w:pPr>
              <w:spacing w:before="120" w:after="120"/>
              <w:ind w:left="112"/>
              <w:rPr>
                <w:rFonts w:eastAsia="Calibri" w:cs="Arial"/>
                <w:b/>
                <w:sz w:val="24"/>
              </w:rPr>
            </w:pPr>
            <w:r w:rsidRPr="005241B8">
              <w:rPr>
                <w:rFonts w:eastAsia="Calibri" w:cs="Arial"/>
                <w:b/>
                <w:sz w:val="24"/>
              </w:rPr>
              <w:t>Commentary</w:t>
            </w:r>
          </w:p>
        </w:tc>
      </w:tr>
      <w:tr w:rsidR="00FE7291" w:rsidRPr="005241B8" w14:paraId="02351A79" w14:textId="77777777">
        <w:trPr>
          <w:trHeight w:val="1217"/>
        </w:trPr>
        <w:tc>
          <w:tcPr>
            <w:tcW w:w="10348" w:type="dxa"/>
          </w:tcPr>
          <w:p w14:paraId="13AFD577" w14:textId="77777777" w:rsidR="00F60348" w:rsidRDefault="00F60348" w:rsidP="002539EE">
            <w:pPr>
              <w:spacing w:before="0" w:after="0" w:line="240" w:lineRule="auto"/>
              <w:ind w:left="111"/>
              <w:rPr>
                <w:rFonts w:eastAsia="Calibri" w:cs="Arial"/>
                <w:b/>
                <w:bCs/>
                <w:sz w:val="24"/>
              </w:rPr>
            </w:pPr>
            <w:bookmarkStart w:id="1" w:name="_Hlk499116078"/>
          </w:p>
          <w:p w14:paraId="085C8AA0" w14:textId="30A3B6FD" w:rsidR="002D37D6" w:rsidRPr="005241B8" w:rsidRDefault="002D37D6" w:rsidP="00A8544C">
            <w:pPr>
              <w:spacing w:before="0" w:after="0" w:line="320" w:lineRule="exact"/>
              <w:ind w:left="111"/>
              <w:rPr>
                <w:rFonts w:eastAsia="Calibri" w:cs="Arial"/>
                <w:b/>
                <w:bCs/>
                <w:sz w:val="24"/>
              </w:rPr>
            </w:pPr>
            <w:r>
              <w:rPr>
                <w:rFonts w:eastAsia="Calibri" w:cs="Arial"/>
                <w:b/>
                <w:bCs/>
                <w:sz w:val="24"/>
              </w:rPr>
              <w:t>Below</w:t>
            </w:r>
            <w:r w:rsidRPr="005241B8">
              <w:rPr>
                <w:rFonts w:eastAsia="Calibri" w:cs="Arial"/>
                <w:b/>
                <w:bCs/>
                <w:sz w:val="24"/>
              </w:rPr>
              <w:t xml:space="preserve"> tolerance. </w:t>
            </w:r>
          </w:p>
          <w:bookmarkEnd w:id="1"/>
          <w:p w14:paraId="3C5BE77C" w14:textId="77777777" w:rsidR="005B11AD" w:rsidRPr="005241B8" w:rsidRDefault="005B11AD" w:rsidP="00A8544C">
            <w:pPr>
              <w:spacing w:before="0" w:after="0" w:line="320" w:lineRule="exact"/>
              <w:ind w:left="111"/>
              <w:rPr>
                <w:rFonts w:eastAsia="Calibri" w:cs="Arial"/>
                <w:b/>
                <w:bCs/>
                <w:sz w:val="24"/>
              </w:rPr>
            </w:pPr>
          </w:p>
          <w:p w14:paraId="613ED36C" w14:textId="77777777" w:rsidR="002D37D6" w:rsidRDefault="002D37D6" w:rsidP="00A8544C">
            <w:pPr>
              <w:spacing w:before="0" w:after="0" w:line="320" w:lineRule="exact"/>
              <w:ind w:left="111"/>
              <w:rPr>
                <w:rFonts w:eastAsia="Calibri" w:cs="Arial"/>
                <w:sz w:val="24"/>
              </w:rPr>
            </w:pPr>
            <w:r w:rsidRPr="2EC1FBC7">
              <w:rPr>
                <w:rFonts w:eastAsia="Calibri" w:cs="Arial"/>
                <w:sz w:val="24"/>
              </w:rPr>
              <w:t xml:space="preserve">We </w:t>
            </w:r>
            <w:r>
              <w:rPr>
                <w:rFonts w:eastAsia="Calibri" w:cs="Arial"/>
                <w:sz w:val="24"/>
              </w:rPr>
              <w:t xml:space="preserve">believe we </w:t>
            </w:r>
            <w:r w:rsidRPr="2EC1FBC7">
              <w:rPr>
                <w:rFonts w:eastAsia="Calibri" w:cs="Arial"/>
                <w:sz w:val="24"/>
              </w:rPr>
              <w:t xml:space="preserve">have a </w:t>
            </w:r>
            <w:r>
              <w:rPr>
                <w:rFonts w:eastAsia="Calibri" w:cs="Arial"/>
                <w:sz w:val="24"/>
              </w:rPr>
              <w:t>sound</w:t>
            </w:r>
            <w:r w:rsidRPr="2EC1FBC7">
              <w:rPr>
                <w:rFonts w:eastAsia="Calibri" w:cs="Arial"/>
                <w:sz w:val="24"/>
              </w:rPr>
              <w:t xml:space="preserve"> regulatory framework, </w:t>
            </w:r>
            <w:r>
              <w:rPr>
                <w:rFonts w:eastAsia="Calibri" w:cs="Arial"/>
                <w:sz w:val="24"/>
              </w:rPr>
              <w:t xml:space="preserve">which we continue to evolve in response to emerging risks and our own desire to continue to be risk-based, proportionate and data-driven. </w:t>
            </w:r>
          </w:p>
          <w:p w14:paraId="069F59F1" w14:textId="17E82EC0" w:rsidR="002539EE" w:rsidRDefault="002D37D6" w:rsidP="00A8544C">
            <w:pPr>
              <w:spacing w:before="0" w:after="0" w:line="320" w:lineRule="exact"/>
              <w:ind w:left="111"/>
              <w:rPr>
                <w:rFonts w:eastAsia="Calibri" w:cs="Arial"/>
                <w:sz w:val="24"/>
              </w:rPr>
            </w:pPr>
            <w:r>
              <w:rPr>
                <w:rFonts w:eastAsia="Calibri" w:cs="Arial"/>
                <w:sz w:val="24"/>
              </w:rPr>
              <w:t xml:space="preserve">We have not identified any underlying or systemic failures or weaknesses in our approach to regulation that would contribute to a loss of public safety and confidence. </w:t>
            </w:r>
            <w:r w:rsidRPr="37A2F157">
              <w:rPr>
                <w:rFonts w:eastAsia="Calibri" w:cs="Arial"/>
                <w:sz w:val="24"/>
              </w:rPr>
              <w:t>We received an assessment of substantial assurance on the previous internal audit on key regulatory processes (final report issued 16 April 2019).</w:t>
            </w:r>
            <w:r w:rsidR="00FB3AAC">
              <w:rPr>
                <w:rFonts w:eastAsia="Calibri" w:cs="Arial"/>
                <w:sz w:val="24"/>
              </w:rPr>
              <w:t xml:space="preserve"> </w:t>
            </w:r>
            <w:r>
              <w:rPr>
                <w:rFonts w:eastAsia="Calibri" w:cs="Arial"/>
                <w:sz w:val="24"/>
              </w:rPr>
              <w:t>We received an assessment of moderate assurance on the internal audit on the Effectiveness of the Inspection Process (final report issued 11 April 2022</w:t>
            </w:r>
            <w:r w:rsidRPr="37A2F157">
              <w:rPr>
                <w:rFonts w:eastAsia="Calibri" w:cs="Arial"/>
                <w:sz w:val="24"/>
              </w:rPr>
              <w:t xml:space="preserve">). </w:t>
            </w:r>
          </w:p>
          <w:p w14:paraId="7765A5F3" w14:textId="77777777" w:rsidR="002539EE" w:rsidRDefault="002539EE" w:rsidP="00A8544C">
            <w:pPr>
              <w:spacing w:before="0" w:after="0" w:line="320" w:lineRule="exact"/>
              <w:ind w:left="111"/>
              <w:rPr>
                <w:rFonts w:eastAsia="Calibri" w:cs="Arial"/>
                <w:sz w:val="24"/>
              </w:rPr>
            </w:pPr>
          </w:p>
          <w:p w14:paraId="4241B206" w14:textId="2A4A171E" w:rsidR="002D37D6" w:rsidRDefault="002D37D6" w:rsidP="00A8544C">
            <w:pPr>
              <w:spacing w:before="0" w:after="0" w:line="320" w:lineRule="exact"/>
              <w:ind w:left="111"/>
              <w:rPr>
                <w:rFonts w:eastAsia="Calibri" w:cs="Arial"/>
                <w:sz w:val="24"/>
              </w:rPr>
            </w:pPr>
            <w:r w:rsidRPr="37A2F157">
              <w:rPr>
                <w:rFonts w:eastAsia="Calibri" w:cs="Arial"/>
                <w:sz w:val="24"/>
              </w:rPr>
              <w:t xml:space="preserve">Three out of the five recommendations have been accomplished on time, with two having an agreed deferred due date during the 2023/24 business year. </w:t>
            </w:r>
          </w:p>
          <w:p w14:paraId="32C8198A" w14:textId="77777777" w:rsidR="002539EE" w:rsidRDefault="002539EE" w:rsidP="00A8544C">
            <w:pPr>
              <w:spacing w:before="0" w:after="0" w:line="320" w:lineRule="exact"/>
              <w:ind w:left="111"/>
              <w:rPr>
                <w:rFonts w:eastAsia="Calibri" w:cs="Arial"/>
                <w:sz w:val="24"/>
              </w:rPr>
            </w:pPr>
          </w:p>
          <w:p w14:paraId="2CBF1EE3" w14:textId="77777777" w:rsidR="002539EE" w:rsidRDefault="002D37D6" w:rsidP="00A8544C">
            <w:pPr>
              <w:spacing w:before="0" w:after="0" w:line="320" w:lineRule="exact"/>
              <w:ind w:left="111"/>
              <w:rPr>
                <w:rFonts w:eastAsia="Calibri" w:cs="Arial"/>
                <w:sz w:val="24"/>
              </w:rPr>
            </w:pPr>
            <w:r>
              <w:rPr>
                <w:rFonts w:eastAsia="Calibri" w:cs="Arial"/>
                <w:sz w:val="24"/>
              </w:rPr>
              <w:t xml:space="preserve">Recent activity with the potential to raise public concern about the changing nature of risk in the Living Organ Donation sector has included information in the public domain concerning people trafficking for organ donation and changes to the offences in the Human Tissue Act to introduce an extra-territorial offence for organ tourism. The HTA continues to play a significant role in multi-agency efforts to address these issues as well as undertaking actions ourselves to address the changing nature of risk and to ensure clear, robust and proportionate messaging. </w:t>
            </w:r>
          </w:p>
          <w:p w14:paraId="0A53B806" w14:textId="77777777" w:rsidR="002539EE" w:rsidRDefault="002539EE" w:rsidP="00A8544C">
            <w:pPr>
              <w:spacing w:before="0" w:after="0" w:line="320" w:lineRule="exact"/>
              <w:ind w:left="111"/>
              <w:rPr>
                <w:rFonts w:eastAsia="Calibri" w:cs="Arial"/>
                <w:sz w:val="24"/>
              </w:rPr>
            </w:pPr>
          </w:p>
          <w:p w14:paraId="6D575736" w14:textId="74B8B61A" w:rsidR="002D37D6" w:rsidRDefault="002D37D6" w:rsidP="00A8544C">
            <w:pPr>
              <w:spacing w:before="0" w:after="0" w:line="320" w:lineRule="exact"/>
              <w:ind w:left="111"/>
              <w:rPr>
                <w:rFonts w:eastAsia="Calibri" w:cs="Arial"/>
                <w:sz w:val="24"/>
              </w:rPr>
            </w:pPr>
            <w:r>
              <w:rPr>
                <w:rFonts w:eastAsia="Calibri" w:cs="Arial"/>
                <w:sz w:val="24"/>
              </w:rPr>
              <w:t>The recent internal audit on the LOD approval process (final report issued 28 March 2023), including our internal review, gave moderate assurance overall, recognising that whilst our review and processes were robust, the risk profile of this activity was changing. We are in the process of making changes to our processes, including training for Independent Assessors and HTA staff and Board members involved in LOD approvals, to implement the recommendations</w:t>
            </w:r>
            <w:r w:rsidR="00093E77">
              <w:rPr>
                <w:rFonts w:eastAsia="Calibri" w:cs="Arial"/>
                <w:sz w:val="24"/>
              </w:rPr>
              <w:t xml:space="preserve"> </w:t>
            </w:r>
            <w:r>
              <w:rPr>
                <w:rFonts w:eastAsia="Calibri" w:cs="Arial"/>
                <w:sz w:val="24"/>
              </w:rPr>
              <w:t>of this audit. This will be covered in a paper to the Board in June 2023.</w:t>
            </w:r>
          </w:p>
          <w:p w14:paraId="36003CD3" w14:textId="77777777" w:rsidR="002539EE" w:rsidRDefault="002539EE" w:rsidP="00A8544C">
            <w:pPr>
              <w:spacing w:before="0" w:after="0" w:line="320" w:lineRule="exact"/>
              <w:ind w:left="111"/>
              <w:rPr>
                <w:rFonts w:eastAsia="Calibri" w:cs="Arial"/>
                <w:sz w:val="24"/>
              </w:rPr>
            </w:pPr>
          </w:p>
          <w:p w14:paraId="4AB993F3" w14:textId="77777777" w:rsidR="002D37D6" w:rsidRDefault="002D37D6" w:rsidP="00A8544C">
            <w:pPr>
              <w:spacing w:before="0" w:after="0" w:line="320" w:lineRule="exact"/>
              <w:ind w:left="118"/>
              <w:rPr>
                <w:rFonts w:eastAsia="Calibri" w:cs="Arial"/>
                <w:sz w:val="24"/>
              </w:rPr>
            </w:pPr>
            <w:r>
              <w:rPr>
                <w:rFonts w:eastAsia="Calibri" w:cs="Arial"/>
                <w:sz w:val="24"/>
              </w:rPr>
              <w:lastRenderedPageBreak/>
              <w:t xml:space="preserve">The HTA is continuing to evolve our approach to inspection, one of our core regulatory tools, introducing Evaluated Self-Assessments (EVAs) this year. We are further increasing our inspection coverage to 222 inspections on existing licences, plus full assessment of all new licence applications. The significant increase in inspection coverage over the last two years, plus the continuing publication of inspection reports and updates to the website to make these more visible, help provide public reassurance, as do the regular publication of data on incidents and our ongoing communications and engagement strategy. </w:t>
            </w:r>
          </w:p>
          <w:p w14:paraId="1D380B6A" w14:textId="77777777" w:rsidR="005B11AD" w:rsidRDefault="005B11AD" w:rsidP="00A8544C">
            <w:pPr>
              <w:spacing w:before="0" w:after="0" w:line="320" w:lineRule="exact"/>
              <w:ind w:left="118"/>
              <w:rPr>
                <w:rFonts w:eastAsia="Calibri" w:cs="Arial"/>
                <w:sz w:val="24"/>
              </w:rPr>
            </w:pPr>
          </w:p>
          <w:p w14:paraId="4C6DA951" w14:textId="77777777" w:rsidR="002D37D6" w:rsidRDefault="002D37D6" w:rsidP="00A8544C">
            <w:pPr>
              <w:spacing w:before="0" w:after="0" w:line="320" w:lineRule="exact"/>
              <w:ind w:left="118"/>
              <w:rPr>
                <w:rFonts w:eastAsia="Calibri" w:cs="Arial"/>
                <w:sz w:val="24"/>
              </w:rPr>
            </w:pPr>
            <w:r>
              <w:rPr>
                <w:rFonts w:eastAsia="Calibri" w:cs="Arial"/>
                <w:sz w:val="24"/>
              </w:rPr>
              <w:t>The new suite of KPIs, reported quarterly to the Board and published in those Board Papers, provides public assurance on our delivery of core regulatory functions.</w:t>
            </w:r>
          </w:p>
          <w:p w14:paraId="47B6246B" w14:textId="77777777" w:rsidR="00F60348" w:rsidRDefault="00F60348" w:rsidP="00A8544C">
            <w:pPr>
              <w:spacing w:before="0" w:after="0" w:line="320" w:lineRule="exact"/>
              <w:ind w:left="118"/>
              <w:rPr>
                <w:rFonts w:eastAsia="Calibri" w:cs="Arial"/>
                <w:sz w:val="24"/>
              </w:rPr>
            </w:pPr>
          </w:p>
          <w:p w14:paraId="260572AD" w14:textId="77777777" w:rsidR="002D37D6" w:rsidRDefault="002D37D6" w:rsidP="00A8544C">
            <w:pPr>
              <w:spacing w:before="0" w:after="0" w:line="320" w:lineRule="exact"/>
              <w:ind w:left="118"/>
              <w:rPr>
                <w:rFonts w:eastAsia="Calibri" w:cs="Arial"/>
                <w:sz w:val="24"/>
              </w:rPr>
            </w:pPr>
            <w:r>
              <w:rPr>
                <w:rFonts w:eastAsia="Calibri" w:cs="Arial"/>
                <w:sz w:val="24"/>
              </w:rPr>
              <w:t xml:space="preserve">We prepare suitable public and media comment, at an appropriate time, on those cases we refer to the police for further investigation and which are taken forward for prosecution, ensuring alignment of messaging where appropriate with other relevant stakeholders. </w:t>
            </w:r>
          </w:p>
          <w:p w14:paraId="5C9DB0F8" w14:textId="77777777" w:rsidR="00F60348" w:rsidRDefault="00F60348" w:rsidP="00A8544C">
            <w:pPr>
              <w:spacing w:before="0" w:after="0" w:line="320" w:lineRule="exact"/>
              <w:ind w:left="118"/>
              <w:rPr>
                <w:rFonts w:eastAsia="Calibri" w:cs="Arial"/>
                <w:sz w:val="24"/>
              </w:rPr>
            </w:pPr>
          </w:p>
          <w:p w14:paraId="3A0D200E" w14:textId="77777777" w:rsidR="002D37D6" w:rsidRDefault="002D37D6" w:rsidP="00A8544C">
            <w:pPr>
              <w:spacing w:before="0" w:after="0" w:line="320" w:lineRule="exact"/>
              <w:ind w:left="118"/>
              <w:rPr>
                <w:rFonts w:eastAsia="Calibri" w:cs="Arial"/>
                <w:sz w:val="24"/>
              </w:rPr>
            </w:pPr>
            <w:r>
              <w:rPr>
                <w:rFonts w:eastAsia="Calibri" w:cs="Arial"/>
                <w:sz w:val="24"/>
              </w:rPr>
              <w:t xml:space="preserve">We continue to support Sir Jonathan Michael’s Independent Investigation into offending at a hospital mortuary and continue to pursue a programme of related activity, including with wider sector stakeholders, as set out in our published advice to the Secretary of State in December 2021. </w:t>
            </w:r>
          </w:p>
          <w:p w14:paraId="5DCEAF80" w14:textId="77777777" w:rsidR="00F60348" w:rsidRDefault="00F60348" w:rsidP="00A8544C">
            <w:pPr>
              <w:spacing w:before="0" w:after="0" w:line="320" w:lineRule="exact"/>
              <w:ind w:left="118"/>
              <w:rPr>
                <w:rFonts w:eastAsia="Calibri" w:cs="Arial"/>
                <w:sz w:val="24"/>
              </w:rPr>
            </w:pPr>
          </w:p>
          <w:p w14:paraId="24937E52" w14:textId="77777777" w:rsidR="002D37D6" w:rsidRDefault="002D37D6" w:rsidP="00A8544C">
            <w:pPr>
              <w:spacing w:before="0" w:after="0" w:line="320" w:lineRule="exact"/>
              <w:ind w:left="118"/>
              <w:rPr>
                <w:rFonts w:eastAsia="Calibri" w:cs="Arial"/>
                <w:bCs/>
                <w:sz w:val="24"/>
              </w:rPr>
            </w:pPr>
            <w:r w:rsidRPr="005241B8">
              <w:rPr>
                <w:rFonts w:eastAsia="Calibri" w:cs="Arial"/>
                <w:sz w:val="24"/>
              </w:rPr>
              <w:t xml:space="preserve">We continue to use all other regulatory tools and processes, such as managing and responding to incident reports (Serious Adverse Events and Reactions and HTA Reportable Incidents), whistleblowing / informant information and ongoing engagement with our regulated sectors, </w:t>
            </w:r>
            <w:r>
              <w:rPr>
                <w:rFonts w:eastAsia="Calibri" w:cs="Arial"/>
                <w:sz w:val="24"/>
              </w:rPr>
              <w:t xml:space="preserve">adopting a wide range of approaches for dealing with issues of concern, including </w:t>
            </w:r>
            <w:r w:rsidRPr="005241B8">
              <w:rPr>
                <w:rFonts w:eastAsia="Calibri" w:cs="Arial"/>
                <w:sz w:val="24"/>
              </w:rPr>
              <w:t xml:space="preserve">investigations and </w:t>
            </w:r>
            <w:r>
              <w:rPr>
                <w:rFonts w:eastAsia="Calibri" w:cs="Arial"/>
                <w:sz w:val="24"/>
              </w:rPr>
              <w:t>unannounced inspection where relevant</w:t>
            </w:r>
            <w:r w:rsidRPr="005241B8">
              <w:rPr>
                <w:rFonts w:eastAsia="Calibri" w:cs="Arial"/>
                <w:bCs/>
                <w:sz w:val="24"/>
              </w:rPr>
              <w:t xml:space="preserve">. </w:t>
            </w:r>
          </w:p>
          <w:p w14:paraId="08AEB007" w14:textId="77777777" w:rsidR="00F60348" w:rsidRDefault="00F60348" w:rsidP="00A8544C">
            <w:pPr>
              <w:spacing w:before="0" w:after="0" w:line="320" w:lineRule="exact"/>
              <w:ind w:left="118"/>
              <w:rPr>
                <w:rFonts w:eastAsia="Calibri" w:cs="Arial"/>
                <w:bCs/>
                <w:sz w:val="24"/>
              </w:rPr>
            </w:pPr>
          </w:p>
          <w:p w14:paraId="4961E355" w14:textId="77777777" w:rsidR="002D37D6" w:rsidRDefault="002D37D6" w:rsidP="00A8544C">
            <w:pPr>
              <w:spacing w:before="0" w:after="0" w:line="320" w:lineRule="exact"/>
              <w:ind w:left="118"/>
              <w:rPr>
                <w:rFonts w:eastAsia="Calibri" w:cs="Arial"/>
                <w:bCs/>
                <w:sz w:val="24"/>
              </w:rPr>
            </w:pPr>
            <w:r w:rsidRPr="00DB0A29">
              <w:rPr>
                <w:rFonts w:eastAsia="Calibri" w:cs="Arial"/>
                <w:bCs/>
                <w:sz w:val="24"/>
              </w:rPr>
              <w:t xml:space="preserve">SMT believes this risk </w:t>
            </w:r>
            <w:r>
              <w:rPr>
                <w:rFonts w:eastAsia="Calibri" w:cs="Arial"/>
                <w:bCs/>
                <w:sz w:val="24"/>
              </w:rPr>
              <w:t xml:space="preserve">is now reduced to just below </w:t>
            </w:r>
            <w:r w:rsidRPr="00DB0A29">
              <w:rPr>
                <w:rFonts w:eastAsia="Calibri" w:cs="Arial"/>
                <w:bCs/>
                <w:sz w:val="24"/>
              </w:rPr>
              <w:t>tolerance.</w:t>
            </w:r>
            <w:r>
              <w:rPr>
                <w:rFonts w:eastAsia="Calibri" w:cs="Arial"/>
                <w:bCs/>
                <w:sz w:val="24"/>
              </w:rPr>
              <w:t xml:space="preserve"> </w:t>
            </w:r>
          </w:p>
          <w:p w14:paraId="4B5B2206" w14:textId="77777777" w:rsidR="002D37D6" w:rsidRPr="005241B8" w:rsidRDefault="002D37D6" w:rsidP="002539EE">
            <w:pPr>
              <w:spacing w:before="0" w:after="0" w:line="240" w:lineRule="auto"/>
              <w:ind w:left="111"/>
              <w:rPr>
                <w:rFonts w:eastAsia="Calibri" w:cs="Arial"/>
                <w:sz w:val="24"/>
              </w:rPr>
            </w:pPr>
          </w:p>
        </w:tc>
      </w:tr>
    </w:tbl>
    <w:p w14:paraId="4A4542B6" w14:textId="77777777" w:rsidR="002D37D6" w:rsidRDefault="002D37D6" w:rsidP="002D37D6">
      <w:pPr>
        <w:rPr>
          <w:rFonts w:eastAsia="Calibri"/>
          <w:b/>
        </w:rPr>
      </w:pPr>
    </w:p>
    <w:p w14:paraId="5E1D2725" w14:textId="77777777" w:rsidR="002D37D6" w:rsidRDefault="002D37D6" w:rsidP="002D37D6">
      <w:r>
        <w:br w:type="page"/>
      </w:r>
    </w:p>
    <w:p w14:paraId="317E144B" w14:textId="2BA340F1" w:rsidR="002D37D6" w:rsidRPr="00061A30" w:rsidRDefault="002D37D6" w:rsidP="002D37D6">
      <w:pPr>
        <w:pStyle w:val="Heading2"/>
        <w:rPr>
          <w:color w:val="auto"/>
        </w:rPr>
      </w:pPr>
      <w:r w:rsidRPr="0009257C">
        <w:rPr>
          <w:color w:val="auto"/>
        </w:rPr>
        <w:lastRenderedPageBreak/>
        <w:t>R2: There is a risk that we will be unable to manage the lifecycle of a significant incident, event or issue impacting on the delivery of HTA objectives</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4"/>
        <w:gridCol w:w="1725"/>
        <w:gridCol w:w="1725"/>
        <w:gridCol w:w="1724"/>
        <w:gridCol w:w="1725"/>
        <w:gridCol w:w="1725"/>
      </w:tblGrid>
      <w:tr w:rsidR="00FE7291" w:rsidRPr="006776F7" w14:paraId="70132EA2" w14:textId="77777777">
        <w:tc>
          <w:tcPr>
            <w:tcW w:w="51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CDD4581" w14:textId="77777777" w:rsidR="002D37D6" w:rsidRPr="006776F7" w:rsidRDefault="002D37D6">
            <w:pPr>
              <w:spacing w:before="120" w:after="120" w:line="276" w:lineRule="auto"/>
              <w:ind w:left="41"/>
              <w:rPr>
                <w:rFonts w:eastAsia="Calibri" w:cs="Arial"/>
                <w:b/>
                <w:sz w:val="24"/>
              </w:rPr>
            </w:pPr>
            <w:r w:rsidRPr="006776F7">
              <w:rPr>
                <w:rFonts w:eastAsia="Calibri" w:cs="Arial"/>
                <w:b/>
                <w:sz w:val="24"/>
              </w:rPr>
              <w:t>Inherent risk level:</w:t>
            </w:r>
          </w:p>
        </w:tc>
        <w:tc>
          <w:tcPr>
            <w:tcW w:w="51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C051E9" w14:textId="77777777" w:rsidR="002D37D6" w:rsidRPr="006776F7" w:rsidRDefault="002D37D6">
            <w:pPr>
              <w:spacing w:before="120" w:after="120" w:line="276" w:lineRule="auto"/>
              <w:ind w:left="41"/>
              <w:rPr>
                <w:rFonts w:eastAsia="Calibri" w:cs="Arial"/>
                <w:b/>
                <w:sz w:val="24"/>
              </w:rPr>
            </w:pPr>
            <w:r w:rsidRPr="006776F7">
              <w:rPr>
                <w:rFonts w:eastAsia="Calibri" w:cs="Arial"/>
                <w:b/>
                <w:sz w:val="24"/>
              </w:rPr>
              <w:t>Residual risk level:</w:t>
            </w:r>
          </w:p>
        </w:tc>
      </w:tr>
      <w:tr w:rsidR="009657C0" w:rsidRPr="006776F7" w14:paraId="740D75E7" w14:textId="77777777">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hideMark/>
          </w:tcPr>
          <w:p w14:paraId="2AF0F8A2" w14:textId="77777777" w:rsidR="002D37D6" w:rsidRPr="006776F7" w:rsidRDefault="002D37D6">
            <w:pPr>
              <w:spacing w:before="120" w:after="120" w:line="276" w:lineRule="auto"/>
              <w:ind w:left="40"/>
              <w:rPr>
                <w:rFonts w:eastAsia="Calibri" w:cs="Arial"/>
                <w:sz w:val="24"/>
              </w:rPr>
            </w:pPr>
            <w:r w:rsidRPr="006776F7">
              <w:rPr>
                <w:rFonts w:eastAsia="Calibri" w:cs="Arial"/>
                <w:sz w:val="24"/>
              </w:rPr>
              <w:t xml:space="preserve">Likelihood </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hideMark/>
          </w:tcPr>
          <w:p w14:paraId="797F3B63" w14:textId="77777777" w:rsidR="002D37D6" w:rsidRPr="006776F7" w:rsidRDefault="002D37D6">
            <w:pPr>
              <w:spacing w:before="120" w:after="120" w:line="276" w:lineRule="auto"/>
              <w:ind w:left="40"/>
              <w:rPr>
                <w:rFonts w:eastAsia="Calibri" w:cs="Arial"/>
                <w:sz w:val="24"/>
              </w:rPr>
            </w:pPr>
            <w:r w:rsidRPr="006776F7">
              <w:rPr>
                <w:rFonts w:eastAsia="Calibri" w:cs="Arial"/>
                <w:sz w:val="24"/>
              </w:rPr>
              <w:t xml:space="preserve">Impact </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hideMark/>
          </w:tcPr>
          <w:p w14:paraId="21162B52" w14:textId="77777777" w:rsidR="002D37D6" w:rsidRPr="006776F7" w:rsidRDefault="002D37D6">
            <w:pPr>
              <w:spacing w:before="120" w:after="120" w:line="276" w:lineRule="auto"/>
              <w:ind w:left="40"/>
              <w:rPr>
                <w:rFonts w:eastAsia="Calibri" w:cs="Arial"/>
                <w:sz w:val="24"/>
              </w:rPr>
            </w:pPr>
            <w:r w:rsidRPr="006776F7">
              <w:rPr>
                <w:rFonts w:eastAsia="Calibri" w:cs="Arial"/>
                <w:sz w:val="24"/>
              </w:rPr>
              <w:t>Inherent risk</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tcPr>
          <w:p w14:paraId="6A88A10F" w14:textId="77777777" w:rsidR="002D37D6" w:rsidRPr="006776F7" w:rsidRDefault="002D37D6">
            <w:pPr>
              <w:spacing w:before="120" w:after="120" w:line="276" w:lineRule="auto"/>
              <w:ind w:left="40"/>
              <w:rPr>
                <w:rFonts w:eastAsia="Calibri" w:cs="Arial"/>
                <w:sz w:val="24"/>
              </w:rPr>
            </w:pPr>
            <w:r w:rsidRPr="006776F7">
              <w:rPr>
                <w:rFonts w:eastAsia="Calibri" w:cs="Arial"/>
                <w:b/>
                <w:sz w:val="24"/>
              </w:rPr>
              <w:t>Likelihood</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tcPr>
          <w:p w14:paraId="1697A61A" w14:textId="77777777" w:rsidR="002D37D6" w:rsidRPr="006776F7" w:rsidRDefault="002D37D6">
            <w:pPr>
              <w:spacing w:before="120" w:after="120" w:line="276" w:lineRule="auto"/>
              <w:ind w:left="40"/>
              <w:rPr>
                <w:rFonts w:eastAsia="Calibri" w:cs="Arial"/>
                <w:b/>
                <w:sz w:val="24"/>
              </w:rPr>
            </w:pPr>
            <w:r w:rsidRPr="006776F7">
              <w:rPr>
                <w:rFonts w:eastAsia="Calibri" w:cs="Arial"/>
                <w:b/>
                <w:sz w:val="24"/>
              </w:rPr>
              <w:t>Impact</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tcPr>
          <w:p w14:paraId="52CBEB44" w14:textId="77777777" w:rsidR="002D37D6" w:rsidRPr="006776F7" w:rsidRDefault="002D37D6">
            <w:pPr>
              <w:spacing w:before="120" w:after="120" w:line="276" w:lineRule="auto"/>
              <w:ind w:left="40"/>
              <w:rPr>
                <w:rFonts w:eastAsia="Calibri" w:cs="Arial"/>
                <w:b/>
                <w:sz w:val="24"/>
              </w:rPr>
            </w:pPr>
            <w:r w:rsidRPr="006776F7">
              <w:rPr>
                <w:rFonts w:eastAsia="Calibri" w:cs="Arial"/>
                <w:b/>
                <w:sz w:val="24"/>
              </w:rPr>
              <w:t>Residual risk</w:t>
            </w:r>
          </w:p>
        </w:tc>
      </w:tr>
      <w:tr w:rsidR="009657C0" w:rsidRPr="006776F7" w14:paraId="349C7207" w14:textId="77777777">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115D4" w14:textId="77777777" w:rsidR="002D37D6" w:rsidRPr="006776F7" w:rsidRDefault="002D37D6">
            <w:pPr>
              <w:spacing w:before="120" w:after="120" w:line="276" w:lineRule="auto"/>
              <w:ind w:left="40"/>
              <w:rPr>
                <w:rFonts w:eastAsia="Calibri" w:cs="Arial"/>
                <w:sz w:val="24"/>
              </w:rPr>
            </w:pPr>
            <w:r w:rsidRPr="066BF340">
              <w:rPr>
                <w:rFonts w:eastAsia="Calibri" w:cs="Arial"/>
                <w:sz w:val="24"/>
              </w:rPr>
              <w:t>4</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F4A0B" w14:textId="77777777" w:rsidR="002D37D6" w:rsidRPr="006776F7" w:rsidRDefault="002D37D6">
            <w:pPr>
              <w:spacing w:before="120" w:after="120" w:line="276" w:lineRule="auto"/>
              <w:ind w:left="40"/>
              <w:rPr>
                <w:rFonts w:eastAsia="Calibri" w:cs="Arial"/>
                <w:sz w:val="24"/>
              </w:rPr>
            </w:pPr>
            <w:r w:rsidRPr="006776F7">
              <w:rPr>
                <w:rFonts w:eastAsia="Calibri" w:cs="Arial"/>
                <w:sz w:val="24"/>
              </w:rPr>
              <w:t>5</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36A874A5" w14:textId="77777777" w:rsidR="002D37D6" w:rsidRPr="006776F7" w:rsidRDefault="002D37D6">
            <w:pPr>
              <w:spacing w:before="120" w:after="120" w:line="276" w:lineRule="auto"/>
              <w:ind w:left="40"/>
              <w:rPr>
                <w:rFonts w:eastAsia="Calibri" w:cs="Arial"/>
                <w:sz w:val="24"/>
              </w:rPr>
            </w:pPr>
            <w:r>
              <w:rPr>
                <w:rFonts w:eastAsia="Calibri" w:cs="Arial"/>
                <w:sz w:val="24"/>
              </w:rPr>
              <w:t>20</w:t>
            </w:r>
            <w:r w:rsidRPr="007C2009">
              <w:rPr>
                <w:rFonts w:eastAsia="Calibri" w:cs="Arial"/>
                <w:sz w:val="24"/>
              </w:rPr>
              <w:t xml:space="preserve"> – </w:t>
            </w:r>
            <w:r>
              <w:rPr>
                <w:rFonts w:eastAsia="Calibri" w:cs="Arial"/>
                <w:sz w:val="24"/>
              </w:rPr>
              <w:t>Very h</w:t>
            </w:r>
            <w:r w:rsidRPr="007C2009">
              <w:rPr>
                <w:rFonts w:eastAsia="Calibri" w:cs="Arial"/>
                <w:sz w:val="24"/>
              </w:rPr>
              <w:t>igh</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8F9FF3" w14:textId="77777777" w:rsidR="002D37D6" w:rsidRPr="006776F7" w:rsidRDefault="002D37D6">
            <w:pPr>
              <w:spacing w:before="120" w:after="120" w:line="276" w:lineRule="auto"/>
              <w:ind w:left="40"/>
              <w:rPr>
                <w:rFonts w:eastAsia="Calibri" w:cs="Arial"/>
                <w:b/>
                <w:sz w:val="24"/>
              </w:rPr>
            </w:pPr>
            <w:r>
              <w:rPr>
                <w:rFonts w:eastAsia="Calibri" w:cs="Arial"/>
                <w:b/>
                <w:sz w:val="24"/>
              </w:rPr>
              <w:t>2</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F82E74" w14:textId="77777777" w:rsidR="002D37D6" w:rsidRPr="006776F7" w:rsidRDefault="002D37D6">
            <w:pPr>
              <w:spacing w:before="120" w:after="120" w:line="276" w:lineRule="auto"/>
              <w:ind w:left="40"/>
              <w:rPr>
                <w:rFonts w:eastAsia="Calibri" w:cs="Arial"/>
                <w:b/>
                <w:sz w:val="24"/>
              </w:rPr>
            </w:pPr>
            <w:r>
              <w:rPr>
                <w:rFonts w:eastAsia="Calibri" w:cs="Arial"/>
                <w:b/>
                <w:sz w:val="24"/>
              </w:rPr>
              <w:t>3</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5B1AF7AC" w14:textId="77777777" w:rsidR="002D37D6" w:rsidRPr="006776F7" w:rsidRDefault="002D37D6">
            <w:pPr>
              <w:spacing w:before="120" w:after="120" w:line="276" w:lineRule="auto"/>
              <w:ind w:left="40"/>
              <w:rPr>
                <w:rFonts w:eastAsia="Calibri" w:cs="Arial"/>
                <w:b/>
                <w:sz w:val="24"/>
              </w:rPr>
            </w:pPr>
            <w:r>
              <w:rPr>
                <w:rFonts w:eastAsia="Calibri" w:cs="Arial"/>
                <w:b/>
                <w:sz w:val="24"/>
              </w:rPr>
              <w:t>6 – Medium</w:t>
            </w:r>
          </w:p>
        </w:tc>
      </w:tr>
      <w:tr w:rsidR="009657C0" w:rsidRPr="006776F7" w14:paraId="154FC9AA" w14:textId="77777777">
        <w:tc>
          <w:tcPr>
            <w:tcW w:w="862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0CF49A3" w14:textId="77777777" w:rsidR="002D37D6" w:rsidRPr="006776F7" w:rsidRDefault="002D37D6">
            <w:pPr>
              <w:spacing w:before="120" w:after="120" w:line="276" w:lineRule="auto"/>
              <w:ind w:left="40"/>
              <w:rPr>
                <w:rFonts w:eastAsia="Calibri" w:cs="Arial"/>
                <w:b/>
                <w:sz w:val="24"/>
              </w:rPr>
            </w:pPr>
            <w:r w:rsidRPr="006776F7">
              <w:rPr>
                <w:rFonts w:eastAsia="Calibri" w:cs="Arial"/>
                <w:b/>
                <w:sz w:val="24"/>
              </w:rPr>
              <w:t xml:space="preserve">Tolerance threshold: </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5B48DCE9" w14:textId="77777777" w:rsidR="002D37D6" w:rsidRPr="006776F7" w:rsidRDefault="002D37D6">
            <w:pPr>
              <w:spacing w:before="120" w:after="120" w:line="276" w:lineRule="auto"/>
              <w:ind w:left="40"/>
              <w:rPr>
                <w:rFonts w:eastAsia="Calibri" w:cs="Arial"/>
                <w:b/>
                <w:sz w:val="24"/>
              </w:rPr>
            </w:pPr>
            <w:r w:rsidRPr="006776F7">
              <w:rPr>
                <w:rFonts w:eastAsia="Calibri" w:cs="Arial"/>
                <w:b/>
                <w:sz w:val="24"/>
              </w:rPr>
              <w:t xml:space="preserve">6 </w:t>
            </w:r>
            <w:r>
              <w:rPr>
                <w:rFonts w:eastAsia="Calibri" w:cs="Arial"/>
                <w:b/>
                <w:sz w:val="24"/>
              </w:rPr>
              <w:t>–</w:t>
            </w:r>
            <w:r w:rsidRPr="006776F7">
              <w:rPr>
                <w:rFonts w:eastAsia="Calibri" w:cs="Arial"/>
                <w:b/>
                <w:sz w:val="24"/>
              </w:rPr>
              <w:t xml:space="preserve"> Medium</w:t>
            </w:r>
          </w:p>
        </w:tc>
      </w:tr>
    </w:tbl>
    <w:p w14:paraId="30F82B44" w14:textId="77777777" w:rsidR="002D37D6" w:rsidRPr="006776F7" w:rsidRDefault="002D37D6" w:rsidP="002D37D6">
      <w:pPr>
        <w:spacing w:line="276" w:lineRule="auto"/>
        <w:rPr>
          <w:rFonts w:eastAsia="Calibri"/>
          <w:b/>
          <w:sz w:val="24"/>
        </w:rPr>
      </w:pPr>
    </w:p>
    <w:tbl>
      <w:tblPr>
        <w:tblW w:w="10348"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28" w:type="dxa"/>
          <w:right w:w="28" w:type="dxa"/>
        </w:tblCellMar>
        <w:tblLook w:val="04A0" w:firstRow="1" w:lastRow="0" w:firstColumn="1" w:lastColumn="0" w:noHBand="0" w:noVBand="1"/>
      </w:tblPr>
      <w:tblGrid>
        <w:gridCol w:w="10348"/>
      </w:tblGrid>
      <w:tr w:rsidR="00FE7291" w:rsidRPr="006776F7" w14:paraId="36FFF3EA" w14:textId="77777777">
        <w:trPr>
          <w:trHeight w:val="510"/>
        </w:trPr>
        <w:tc>
          <w:tcPr>
            <w:tcW w:w="10348" w:type="dxa"/>
          </w:tcPr>
          <w:p w14:paraId="1CF9D227" w14:textId="77777777" w:rsidR="002D37D6" w:rsidRPr="006776F7" w:rsidRDefault="002D37D6">
            <w:pPr>
              <w:spacing w:before="120" w:after="120" w:line="276" w:lineRule="auto"/>
              <w:ind w:left="112"/>
              <w:rPr>
                <w:rFonts w:eastAsia="Calibri" w:cs="Arial"/>
                <w:b/>
                <w:sz w:val="24"/>
              </w:rPr>
            </w:pPr>
            <w:r w:rsidRPr="006776F7">
              <w:rPr>
                <w:rFonts w:eastAsia="Calibri" w:cs="Arial"/>
                <w:b/>
                <w:sz w:val="24"/>
              </w:rPr>
              <w:t>Commentary</w:t>
            </w:r>
          </w:p>
        </w:tc>
      </w:tr>
      <w:tr w:rsidR="00FE7291" w:rsidRPr="006776F7" w14:paraId="71B7D34C" w14:textId="77777777">
        <w:trPr>
          <w:trHeight w:val="1217"/>
        </w:trPr>
        <w:tc>
          <w:tcPr>
            <w:tcW w:w="10348" w:type="dxa"/>
          </w:tcPr>
          <w:p w14:paraId="143D385E" w14:textId="77777777" w:rsidR="002D37D6" w:rsidRPr="005241B8" w:rsidRDefault="002D37D6">
            <w:pPr>
              <w:spacing w:before="120" w:after="120"/>
              <w:ind w:left="111"/>
              <w:rPr>
                <w:rFonts w:eastAsia="Calibri" w:cs="Arial"/>
                <w:b/>
                <w:bCs/>
                <w:sz w:val="24"/>
              </w:rPr>
            </w:pPr>
            <w:r>
              <w:rPr>
                <w:rFonts w:eastAsia="Calibri" w:cs="Arial"/>
                <w:b/>
                <w:bCs/>
                <w:sz w:val="24"/>
              </w:rPr>
              <w:t>At</w:t>
            </w:r>
            <w:r w:rsidRPr="005241B8">
              <w:rPr>
                <w:rFonts w:eastAsia="Calibri" w:cs="Arial"/>
                <w:b/>
                <w:bCs/>
                <w:sz w:val="24"/>
              </w:rPr>
              <w:t xml:space="preserve"> tolerance. </w:t>
            </w:r>
          </w:p>
          <w:p w14:paraId="0BA83842" w14:textId="77777777" w:rsidR="002D37D6" w:rsidRDefault="002D37D6" w:rsidP="006551A7">
            <w:pPr>
              <w:spacing w:before="120" w:after="0" w:line="240" w:lineRule="auto"/>
              <w:ind w:left="113"/>
              <w:rPr>
                <w:rFonts w:eastAsia="Calibri" w:cs="Arial"/>
                <w:bCs/>
                <w:sz w:val="24"/>
              </w:rPr>
            </w:pPr>
            <w:r>
              <w:rPr>
                <w:rFonts w:eastAsia="Calibri" w:cs="Arial"/>
                <w:bCs/>
                <w:sz w:val="24"/>
              </w:rPr>
              <w:t>Th</w:t>
            </w:r>
            <w:r w:rsidRPr="006776F7">
              <w:rPr>
                <w:rFonts w:eastAsia="Calibri" w:cs="Arial"/>
                <w:bCs/>
                <w:sz w:val="24"/>
              </w:rPr>
              <w:t xml:space="preserve">is risk </w:t>
            </w:r>
            <w:r>
              <w:rPr>
                <w:rFonts w:eastAsia="Calibri" w:cs="Arial"/>
                <w:bCs/>
                <w:sz w:val="24"/>
              </w:rPr>
              <w:t xml:space="preserve">concerns </w:t>
            </w:r>
            <w:r w:rsidRPr="006776F7">
              <w:rPr>
                <w:rFonts w:eastAsia="Calibri" w:cs="Arial"/>
                <w:bCs/>
                <w:sz w:val="24"/>
              </w:rPr>
              <w:t>our ability to respond</w:t>
            </w:r>
            <w:r>
              <w:rPr>
                <w:rFonts w:eastAsia="Calibri" w:cs="Arial"/>
                <w:bCs/>
                <w:sz w:val="24"/>
              </w:rPr>
              <w:t xml:space="preserve"> to and manage the whole lifecycle of incidents, irrespective of their nature or cause i.e. these are not necessarily incidents relating to our regulatory remit. </w:t>
            </w:r>
          </w:p>
          <w:p w14:paraId="4F82E1BD" w14:textId="77777777" w:rsidR="002D37D6" w:rsidRPr="006776F7" w:rsidRDefault="002D37D6" w:rsidP="006551A7">
            <w:pPr>
              <w:spacing w:before="120" w:after="0" w:line="240" w:lineRule="auto"/>
              <w:ind w:left="113"/>
              <w:rPr>
                <w:rFonts w:eastAsia="Calibri" w:cs="Arial"/>
                <w:bCs/>
                <w:sz w:val="24"/>
              </w:rPr>
            </w:pPr>
            <w:r>
              <w:rPr>
                <w:rFonts w:eastAsia="Calibri" w:cs="Arial"/>
                <w:bCs/>
                <w:sz w:val="24"/>
              </w:rPr>
              <w:t xml:space="preserve">Given this risk concerns our </w:t>
            </w:r>
            <w:r w:rsidRPr="006776F7">
              <w:rPr>
                <w:rFonts w:eastAsia="Calibri" w:cs="Arial"/>
                <w:bCs/>
                <w:sz w:val="24"/>
              </w:rPr>
              <w:t xml:space="preserve">ability to respond </w:t>
            </w:r>
            <w:r>
              <w:rPr>
                <w:rFonts w:eastAsia="Calibri" w:cs="Arial"/>
                <w:bCs/>
                <w:sz w:val="24"/>
              </w:rPr>
              <w:t xml:space="preserve">to an incident whilst maintaining delivery of core business objectives, we believe it is </w:t>
            </w:r>
            <w:r w:rsidRPr="006776F7">
              <w:rPr>
                <w:rFonts w:eastAsia="Calibri" w:cs="Arial"/>
                <w:bCs/>
                <w:sz w:val="24"/>
              </w:rPr>
              <w:t xml:space="preserve">within the </w:t>
            </w:r>
            <w:r>
              <w:rPr>
                <w:rFonts w:eastAsia="Calibri" w:cs="Arial"/>
                <w:bCs/>
                <w:sz w:val="24"/>
              </w:rPr>
              <w:t xml:space="preserve">HTA’s </w:t>
            </w:r>
            <w:r w:rsidRPr="006776F7">
              <w:rPr>
                <w:rFonts w:eastAsia="Calibri" w:cs="Arial"/>
                <w:bCs/>
                <w:sz w:val="24"/>
              </w:rPr>
              <w:t>control</w:t>
            </w:r>
            <w:r>
              <w:rPr>
                <w:rFonts w:eastAsia="Calibri" w:cs="Arial"/>
                <w:bCs/>
                <w:sz w:val="24"/>
              </w:rPr>
              <w:t xml:space="preserve"> through the use of the Critical Incident and Business Continuity Plans (or based on those approaches). Hence we have set a low </w:t>
            </w:r>
            <w:r w:rsidRPr="006776F7">
              <w:rPr>
                <w:rFonts w:eastAsia="Calibri" w:cs="Arial"/>
                <w:bCs/>
                <w:sz w:val="24"/>
              </w:rPr>
              <w:t>tolerance level</w:t>
            </w:r>
            <w:r>
              <w:rPr>
                <w:rFonts w:eastAsia="Calibri" w:cs="Arial"/>
                <w:bCs/>
                <w:sz w:val="24"/>
              </w:rPr>
              <w:t>.</w:t>
            </w:r>
            <w:r w:rsidRPr="006776F7">
              <w:rPr>
                <w:rFonts w:eastAsia="Calibri" w:cs="Arial"/>
                <w:bCs/>
                <w:sz w:val="24"/>
              </w:rPr>
              <w:t xml:space="preserve"> </w:t>
            </w:r>
          </w:p>
          <w:p w14:paraId="6B1AFE7A" w14:textId="77777777" w:rsidR="002D37D6" w:rsidRDefault="002D37D6" w:rsidP="006551A7">
            <w:pPr>
              <w:spacing w:before="120" w:after="0" w:line="240" w:lineRule="auto"/>
              <w:ind w:left="113"/>
              <w:rPr>
                <w:rFonts w:eastAsia="Calibri" w:cs="Arial"/>
                <w:bCs/>
                <w:sz w:val="24"/>
              </w:rPr>
            </w:pPr>
            <w:r w:rsidRPr="006776F7">
              <w:rPr>
                <w:rFonts w:eastAsia="Calibri" w:cs="Arial"/>
                <w:bCs/>
                <w:sz w:val="24"/>
              </w:rPr>
              <w:t xml:space="preserve">The HTA </w:t>
            </w:r>
            <w:r>
              <w:rPr>
                <w:rFonts w:eastAsia="Calibri" w:cs="Arial"/>
                <w:bCs/>
                <w:sz w:val="24"/>
              </w:rPr>
              <w:t xml:space="preserve">believes that our incident management </w:t>
            </w:r>
            <w:r w:rsidRPr="006776F7">
              <w:rPr>
                <w:rFonts w:eastAsia="Calibri" w:cs="Arial"/>
                <w:bCs/>
                <w:sz w:val="24"/>
              </w:rPr>
              <w:t>response</w:t>
            </w:r>
            <w:r>
              <w:rPr>
                <w:rFonts w:eastAsia="Calibri" w:cs="Arial"/>
                <w:bCs/>
                <w:sz w:val="24"/>
              </w:rPr>
              <w:t xml:space="preserve"> plans have been tested and found effective through their deployment in several different circumstances over the past few years. These have included </w:t>
            </w:r>
            <w:r w:rsidRPr="006776F7">
              <w:rPr>
                <w:rFonts w:eastAsia="Calibri" w:cs="Arial"/>
                <w:bCs/>
                <w:sz w:val="24"/>
              </w:rPr>
              <w:t xml:space="preserve">managing the impact of the pandemic </w:t>
            </w:r>
            <w:r>
              <w:rPr>
                <w:rFonts w:eastAsia="Calibri" w:cs="Arial"/>
                <w:bCs/>
                <w:sz w:val="24"/>
              </w:rPr>
              <w:t xml:space="preserve">and related restrictions, in their adaptation for use in managing the potential impacts of EU Exit following the end of the Transition Period and in our mobilisation planning in preparation for the Fuller trial. </w:t>
            </w:r>
          </w:p>
          <w:p w14:paraId="05A180F7" w14:textId="77777777" w:rsidR="002D37D6" w:rsidRDefault="002D37D6" w:rsidP="006551A7">
            <w:pPr>
              <w:spacing w:before="120" w:after="0" w:line="240" w:lineRule="auto"/>
              <w:ind w:left="113"/>
              <w:rPr>
                <w:rFonts w:eastAsia="Calibri" w:cs="Arial"/>
                <w:sz w:val="24"/>
              </w:rPr>
            </w:pPr>
            <w:r>
              <w:rPr>
                <w:rFonts w:eastAsia="Calibri" w:cs="Arial"/>
                <w:sz w:val="24"/>
              </w:rPr>
              <w:t xml:space="preserve">We have rewritten our Critical Incident Response Plan and tested it during 22/23 with a specialist consultant and will complete a similar exercise for our Business Continuity Plan in Q1 23/24. Moving forward we will review both procedures annually and undertake a test with all staff each January to ensure that we are sufficiently prepared to manage incidents as they arise. </w:t>
            </w:r>
          </w:p>
          <w:p w14:paraId="1FDD33E9" w14:textId="77777777" w:rsidR="002D37D6" w:rsidRDefault="002D37D6" w:rsidP="006551A7">
            <w:pPr>
              <w:spacing w:before="120" w:after="0" w:line="240" w:lineRule="auto"/>
              <w:ind w:left="113"/>
              <w:rPr>
                <w:rFonts w:eastAsia="Calibri" w:cs="Arial"/>
                <w:bCs/>
                <w:sz w:val="24"/>
              </w:rPr>
            </w:pPr>
            <w:r w:rsidRPr="00252B4E">
              <w:rPr>
                <w:rFonts w:eastAsia="Calibri" w:cs="Arial"/>
                <w:bCs/>
                <w:sz w:val="24"/>
              </w:rPr>
              <w:t xml:space="preserve">Having increased the risk scoring in July </w:t>
            </w:r>
            <w:r>
              <w:rPr>
                <w:rFonts w:eastAsia="Calibri" w:cs="Arial"/>
                <w:bCs/>
                <w:sz w:val="24"/>
              </w:rPr>
              <w:t xml:space="preserve">2021, in anticipation of the prospective Fuller trial, </w:t>
            </w:r>
            <w:r w:rsidRPr="00252B4E">
              <w:rPr>
                <w:rFonts w:eastAsia="Calibri" w:cs="Arial"/>
                <w:bCs/>
                <w:sz w:val="24"/>
              </w:rPr>
              <w:t xml:space="preserve">we </w:t>
            </w:r>
            <w:r>
              <w:rPr>
                <w:rFonts w:eastAsia="Calibri" w:cs="Arial"/>
                <w:bCs/>
                <w:sz w:val="24"/>
              </w:rPr>
              <w:t xml:space="preserve">now believe </w:t>
            </w:r>
            <w:r w:rsidRPr="00252B4E">
              <w:rPr>
                <w:rFonts w:eastAsia="Calibri" w:cs="Arial"/>
                <w:bCs/>
                <w:sz w:val="24"/>
              </w:rPr>
              <w:t xml:space="preserve">that the likelihood of this risk materialising has </w:t>
            </w:r>
            <w:r>
              <w:rPr>
                <w:rFonts w:eastAsia="Calibri" w:cs="Arial"/>
                <w:bCs/>
                <w:sz w:val="24"/>
              </w:rPr>
              <w:t xml:space="preserve">reduced. Sir Jonathan Michael’s Independent Inquiry into the circumstances of Fuller’s offending and any related wider concerns about settings in which the deceased are managed is still continuing and is expected to report on Phase 1 during 2023 and on Phase 2 in 2024. Given there are also other criminal proceedings concerning unrelated matters within our broader remit, we believe there is still the potential for significant impact of an incident, on our corporate objectives, either from those causes or others of which we may still be unaware. </w:t>
            </w:r>
          </w:p>
          <w:p w14:paraId="05C13D55" w14:textId="615A8AD1" w:rsidR="006551A7" w:rsidRDefault="002D37D6" w:rsidP="006551A7">
            <w:pPr>
              <w:spacing w:before="120" w:after="0" w:line="240" w:lineRule="auto"/>
              <w:ind w:left="113"/>
              <w:rPr>
                <w:rFonts w:eastAsia="Calibri" w:cs="Arial"/>
                <w:bCs/>
                <w:sz w:val="24"/>
              </w:rPr>
            </w:pPr>
            <w:r>
              <w:rPr>
                <w:rFonts w:eastAsia="Calibri" w:cs="Arial"/>
                <w:bCs/>
                <w:sz w:val="24"/>
              </w:rPr>
              <w:t>Hence the residual risk is now at the tolerance level, a reduction unchanged from the last review.</w:t>
            </w:r>
          </w:p>
          <w:p w14:paraId="041D439F" w14:textId="3A27C9D1" w:rsidR="002D37D6" w:rsidRPr="006776F7" w:rsidRDefault="002D37D6">
            <w:pPr>
              <w:spacing w:before="120" w:after="120" w:line="276" w:lineRule="auto"/>
              <w:ind w:left="111"/>
              <w:rPr>
                <w:rFonts w:eastAsia="Calibri" w:cs="Arial"/>
                <w:bCs/>
                <w:sz w:val="24"/>
              </w:rPr>
            </w:pPr>
          </w:p>
        </w:tc>
      </w:tr>
    </w:tbl>
    <w:p w14:paraId="3431EEB7" w14:textId="45C9B95E" w:rsidR="002D37D6" w:rsidRPr="008D326A" w:rsidRDefault="002D37D6" w:rsidP="002D37D6">
      <w:pPr>
        <w:pStyle w:val="Heading2"/>
        <w:rPr>
          <w:color w:val="auto"/>
        </w:rPr>
      </w:pPr>
      <w:r>
        <w:br w:type="page"/>
      </w:r>
      <w:r w:rsidRPr="00061A30">
        <w:rPr>
          <w:color w:val="auto"/>
        </w:rPr>
        <w:lastRenderedPageBreak/>
        <w:t xml:space="preserve">R3: There is a risk that we will fail to manage public and professional expectations of </w:t>
      </w:r>
      <w:r w:rsidRPr="008D326A">
        <w:rPr>
          <w:color w:val="auto"/>
        </w:rPr>
        <w:t xml:space="preserve">human tissue regulation </w:t>
      </w:r>
      <w:r w:rsidRPr="008D326A">
        <w:rPr>
          <w:rFonts w:eastAsia="Arial" w:cs="Arial"/>
          <w:color w:val="auto"/>
          <w:szCs w:val="24"/>
        </w:rPr>
        <w:t>stemming from limitations in current legislation, misperception of HTA regulatory reach and innovations in the use of human tissues and cells</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4"/>
        <w:gridCol w:w="1725"/>
        <w:gridCol w:w="1725"/>
        <w:gridCol w:w="1724"/>
        <w:gridCol w:w="1725"/>
        <w:gridCol w:w="1725"/>
      </w:tblGrid>
      <w:tr w:rsidR="00FE7291" w:rsidRPr="00A13C06" w14:paraId="6BF316E0" w14:textId="77777777">
        <w:tc>
          <w:tcPr>
            <w:tcW w:w="51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B257D30" w14:textId="77777777" w:rsidR="002D37D6" w:rsidRPr="0021736D" w:rsidRDefault="002D37D6">
            <w:pPr>
              <w:spacing w:before="120" w:after="120"/>
              <w:ind w:left="41"/>
              <w:rPr>
                <w:rFonts w:eastAsia="Calibri" w:cs="Arial"/>
                <w:b/>
                <w:sz w:val="24"/>
              </w:rPr>
            </w:pPr>
            <w:r w:rsidRPr="0021736D">
              <w:rPr>
                <w:rFonts w:eastAsia="Calibri" w:cs="Arial"/>
                <w:b/>
                <w:sz w:val="24"/>
              </w:rPr>
              <w:t>Inherent risk level:</w:t>
            </w:r>
          </w:p>
        </w:tc>
        <w:tc>
          <w:tcPr>
            <w:tcW w:w="51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4075C6" w14:textId="77777777" w:rsidR="002D37D6" w:rsidRPr="0021736D" w:rsidRDefault="002D37D6">
            <w:pPr>
              <w:spacing w:before="120" w:after="120"/>
              <w:ind w:left="41"/>
              <w:rPr>
                <w:rFonts w:eastAsia="Calibri" w:cs="Arial"/>
                <w:b/>
                <w:sz w:val="24"/>
              </w:rPr>
            </w:pPr>
            <w:r w:rsidRPr="0021736D">
              <w:rPr>
                <w:rFonts w:eastAsia="Calibri" w:cs="Arial"/>
                <w:b/>
                <w:sz w:val="24"/>
              </w:rPr>
              <w:t>Residual risk level:</w:t>
            </w:r>
          </w:p>
        </w:tc>
      </w:tr>
      <w:tr w:rsidR="009657C0" w:rsidRPr="00A13C06" w14:paraId="760703F0" w14:textId="77777777">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hideMark/>
          </w:tcPr>
          <w:p w14:paraId="67C1896E" w14:textId="77777777" w:rsidR="002D37D6" w:rsidRPr="0021736D" w:rsidRDefault="002D37D6">
            <w:pPr>
              <w:spacing w:before="120" w:after="120"/>
              <w:ind w:left="40"/>
              <w:rPr>
                <w:rFonts w:eastAsia="Calibri" w:cs="Arial"/>
                <w:sz w:val="24"/>
              </w:rPr>
            </w:pPr>
            <w:r w:rsidRPr="0021736D">
              <w:rPr>
                <w:rFonts w:eastAsia="Calibri" w:cs="Arial"/>
                <w:sz w:val="24"/>
              </w:rPr>
              <w:t xml:space="preserve">Likelihood </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hideMark/>
          </w:tcPr>
          <w:p w14:paraId="06C23D1F" w14:textId="77777777" w:rsidR="002D37D6" w:rsidRPr="0021736D" w:rsidRDefault="002D37D6">
            <w:pPr>
              <w:spacing w:before="120" w:after="120"/>
              <w:ind w:left="40"/>
              <w:rPr>
                <w:rFonts w:eastAsia="Calibri" w:cs="Arial"/>
                <w:sz w:val="24"/>
              </w:rPr>
            </w:pPr>
            <w:r w:rsidRPr="0021736D">
              <w:rPr>
                <w:rFonts w:eastAsia="Calibri" w:cs="Arial"/>
                <w:sz w:val="24"/>
              </w:rPr>
              <w:t xml:space="preserve">Impact </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hideMark/>
          </w:tcPr>
          <w:p w14:paraId="64AF80E9" w14:textId="77777777" w:rsidR="002D37D6" w:rsidRPr="0021736D" w:rsidRDefault="002D37D6">
            <w:pPr>
              <w:spacing w:before="120" w:after="120"/>
              <w:ind w:left="40"/>
              <w:rPr>
                <w:rFonts w:eastAsia="Calibri" w:cs="Arial"/>
                <w:sz w:val="24"/>
              </w:rPr>
            </w:pPr>
            <w:r w:rsidRPr="0021736D">
              <w:rPr>
                <w:rFonts w:eastAsia="Calibri" w:cs="Arial"/>
                <w:sz w:val="24"/>
              </w:rPr>
              <w:t>Inherent risk</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tcPr>
          <w:p w14:paraId="3BF162C1" w14:textId="77777777" w:rsidR="002D37D6" w:rsidRPr="0021736D" w:rsidRDefault="002D37D6">
            <w:pPr>
              <w:spacing w:before="120" w:after="120"/>
              <w:ind w:left="40"/>
              <w:rPr>
                <w:rFonts w:eastAsia="Calibri" w:cs="Arial"/>
                <w:sz w:val="24"/>
              </w:rPr>
            </w:pPr>
            <w:r w:rsidRPr="0021736D">
              <w:rPr>
                <w:rFonts w:eastAsia="Calibri" w:cs="Arial"/>
                <w:b/>
                <w:sz w:val="24"/>
              </w:rPr>
              <w:t>Likelihood</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tcPr>
          <w:p w14:paraId="36666679" w14:textId="77777777" w:rsidR="002D37D6" w:rsidRPr="0021736D" w:rsidRDefault="002D37D6">
            <w:pPr>
              <w:spacing w:before="120" w:after="120"/>
              <w:ind w:left="40"/>
              <w:rPr>
                <w:rFonts w:eastAsia="Calibri" w:cs="Arial"/>
                <w:b/>
                <w:sz w:val="24"/>
              </w:rPr>
            </w:pPr>
            <w:r w:rsidRPr="0021736D">
              <w:rPr>
                <w:rFonts w:eastAsia="Calibri" w:cs="Arial"/>
                <w:b/>
                <w:sz w:val="24"/>
              </w:rPr>
              <w:t>Impact</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tcPr>
          <w:p w14:paraId="1175FA10" w14:textId="77777777" w:rsidR="002D37D6" w:rsidRPr="0021736D" w:rsidRDefault="002D37D6">
            <w:pPr>
              <w:spacing w:before="120" w:after="120"/>
              <w:ind w:left="40"/>
              <w:rPr>
                <w:rFonts w:eastAsia="Calibri" w:cs="Arial"/>
                <w:b/>
                <w:sz w:val="24"/>
              </w:rPr>
            </w:pPr>
            <w:r w:rsidRPr="0021736D">
              <w:rPr>
                <w:rFonts w:eastAsia="Calibri" w:cs="Arial"/>
                <w:b/>
                <w:sz w:val="24"/>
              </w:rPr>
              <w:t>Residual risk</w:t>
            </w:r>
          </w:p>
        </w:tc>
      </w:tr>
      <w:tr w:rsidR="009657C0" w:rsidRPr="00A13C06" w14:paraId="69A8CF28" w14:textId="77777777">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EFD03" w14:textId="77777777" w:rsidR="002D37D6" w:rsidRPr="0021736D" w:rsidRDefault="002D37D6">
            <w:pPr>
              <w:spacing w:before="120" w:after="120"/>
              <w:ind w:left="40"/>
              <w:rPr>
                <w:rFonts w:eastAsia="Calibri" w:cs="Arial"/>
                <w:sz w:val="24"/>
              </w:rPr>
            </w:pPr>
            <w:r w:rsidRPr="0021736D">
              <w:rPr>
                <w:rFonts w:eastAsia="Calibri" w:cs="Arial"/>
                <w:sz w:val="24"/>
              </w:rPr>
              <w:t>3</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D0214" w14:textId="77777777" w:rsidR="002D37D6" w:rsidRPr="0021736D" w:rsidRDefault="002D37D6">
            <w:pPr>
              <w:spacing w:before="120" w:after="120"/>
              <w:ind w:left="40"/>
              <w:rPr>
                <w:rFonts w:eastAsia="Calibri" w:cs="Arial"/>
                <w:sz w:val="24"/>
              </w:rPr>
            </w:pPr>
            <w:r w:rsidRPr="0021736D">
              <w:rPr>
                <w:rFonts w:eastAsia="Calibri" w:cs="Arial"/>
                <w:sz w:val="24"/>
              </w:rPr>
              <w:t>4</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2F3596A1" w14:textId="77777777" w:rsidR="002D37D6" w:rsidRPr="0021736D" w:rsidRDefault="002D37D6">
            <w:pPr>
              <w:spacing w:before="120" w:after="120"/>
              <w:ind w:left="40"/>
              <w:rPr>
                <w:rFonts w:eastAsia="Calibri" w:cs="Arial"/>
                <w:sz w:val="24"/>
              </w:rPr>
            </w:pPr>
            <w:r>
              <w:rPr>
                <w:rFonts w:eastAsia="Calibri" w:cs="Arial"/>
                <w:sz w:val="24"/>
              </w:rPr>
              <w:t>12 - High</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E05E67" w14:textId="77777777" w:rsidR="002D37D6" w:rsidRPr="0021736D" w:rsidRDefault="002D37D6">
            <w:pPr>
              <w:spacing w:before="120" w:after="120"/>
              <w:ind w:left="40"/>
              <w:rPr>
                <w:rFonts w:eastAsia="Calibri" w:cs="Arial"/>
                <w:b/>
                <w:sz w:val="24"/>
              </w:rPr>
            </w:pPr>
            <w:r>
              <w:rPr>
                <w:rFonts w:eastAsia="Calibri" w:cs="Arial"/>
                <w:b/>
                <w:sz w:val="24"/>
              </w:rPr>
              <w:t>3</w:t>
            </w:r>
            <w:r w:rsidRPr="0021736D">
              <w:rPr>
                <w:rFonts w:eastAsia="Calibri" w:cs="Arial"/>
                <w:b/>
                <w:sz w:val="24"/>
              </w:rPr>
              <w:t xml:space="preserve"> </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926CEE" w14:textId="77777777" w:rsidR="002D37D6" w:rsidRPr="0021736D" w:rsidRDefault="002D37D6">
            <w:pPr>
              <w:spacing w:before="120" w:after="120"/>
              <w:ind w:left="40"/>
              <w:rPr>
                <w:rFonts w:eastAsia="Calibri" w:cs="Arial"/>
                <w:b/>
                <w:sz w:val="24"/>
              </w:rPr>
            </w:pPr>
            <w:r>
              <w:rPr>
                <w:rFonts w:eastAsia="Calibri" w:cs="Arial"/>
                <w:b/>
                <w:sz w:val="24"/>
              </w:rPr>
              <w:t>3</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3B69ECA8" w14:textId="77777777" w:rsidR="002D37D6" w:rsidRPr="0021736D" w:rsidRDefault="002D37D6">
            <w:pPr>
              <w:spacing w:before="120" w:after="120"/>
              <w:ind w:left="40"/>
              <w:rPr>
                <w:rFonts w:eastAsia="Calibri" w:cs="Arial"/>
                <w:b/>
                <w:sz w:val="24"/>
              </w:rPr>
            </w:pPr>
            <w:r>
              <w:rPr>
                <w:rFonts w:eastAsia="Calibri" w:cs="Arial"/>
                <w:b/>
                <w:sz w:val="24"/>
              </w:rPr>
              <w:t>9</w:t>
            </w:r>
            <w:r w:rsidRPr="0021736D">
              <w:rPr>
                <w:rFonts w:eastAsia="Calibri" w:cs="Arial"/>
                <w:b/>
                <w:sz w:val="24"/>
              </w:rPr>
              <w:t xml:space="preserve"> – Medium</w:t>
            </w:r>
          </w:p>
        </w:tc>
      </w:tr>
      <w:tr w:rsidR="009657C0" w:rsidRPr="00A13C06" w14:paraId="6D67A335" w14:textId="77777777">
        <w:tc>
          <w:tcPr>
            <w:tcW w:w="862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C20217A" w14:textId="77777777" w:rsidR="002D37D6" w:rsidRPr="0021736D" w:rsidRDefault="002D37D6">
            <w:pPr>
              <w:spacing w:before="120" w:after="120"/>
              <w:ind w:left="40"/>
              <w:rPr>
                <w:rFonts w:eastAsia="Calibri" w:cs="Arial"/>
                <w:b/>
                <w:sz w:val="24"/>
              </w:rPr>
            </w:pPr>
            <w:r w:rsidRPr="0021736D">
              <w:rPr>
                <w:rFonts w:eastAsia="Calibri" w:cs="Arial"/>
                <w:b/>
                <w:sz w:val="24"/>
              </w:rPr>
              <w:t xml:space="preserve">Tolerance threshold: </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47B10708" w14:textId="77777777" w:rsidR="002D37D6" w:rsidRPr="0021736D" w:rsidRDefault="002D37D6">
            <w:pPr>
              <w:spacing w:before="120" w:after="120"/>
              <w:ind w:left="40"/>
              <w:rPr>
                <w:rFonts w:eastAsia="Calibri" w:cs="Arial"/>
                <w:b/>
                <w:sz w:val="24"/>
              </w:rPr>
            </w:pPr>
            <w:r w:rsidRPr="0021736D">
              <w:rPr>
                <w:rFonts w:eastAsia="Calibri" w:cs="Arial"/>
                <w:b/>
                <w:sz w:val="24"/>
              </w:rPr>
              <w:t xml:space="preserve">9 </w:t>
            </w:r>
            <w:r>
              <w:rPr>
                <w:rFonts w:eastAsia="Calibri" w:cs="Arial"/>
                <w:b/>
                <w:sz w:val="24"/>
              </w:rPr>
              <w:t>–</w:t>
            </w:r>
            <w:r w:rsidRPr="0021736D">
              <w:rPr>
                <w:rFonts w:eastAsia="Calibri" w:cs="Arial"/>
                <w:b/>
                <w:sz w:val="24"/>
              </w:rPr>
              <w:t xml:space="preserve"> Medium</w:t>
            </w:r>
          </w:p>
        </w:tc>
      </w:tr>
    </w:tbl>
    <w:p w14:paraId="11C8FE30" w14:textId="77777777" w:rsidR="002D37D6" w:rsidRDefault="002D37D6" w:rsidP="002D37D6">
      <w:pPr>
        <w:rPr>
          <w:rFonts w:eastAsia="Calibri"/>
          <w:b/>
        </w:rPr>
      </w:pPr>
    </w:p>
    <w:tbl>
      <w:tblPr>
        <w:tblW w:w="10348"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28" w:type="dxa"/>
          <w:right w:w="28" w:type="dxa"/>
        </w:tblCellMar>
        <w:tblLook w:val="04A0" w:firstRow="1" w:lastRow="0" w:firstColumn="1" w:lastColumn="0" w:noHBand="0" w:noVBand="1"/>
      </w:tblPr>
      <w:tblGrid>
        <w:gridCol w:w="10348"/>
      </w:tblGrid>
      <w:tr w:rsidR="00FE7291" w:rsidRPr="00A13C06" w14:paraId="43BC2BFA" w14:textId="77777777">
        <w:trPr>
          <w:trHeight w:val="510"/>
        </w:trPr>
        <w:tc>
          <w:tcPr>
            <w:tcW w:w="10348" w:type="dxa"/>
          </w:tcPr>
          <w:p w14:paraId="66CC3939" w14:textId="77777777" w:rsidR="002D37D6" w:rsidRPr="0021736D" w:rsidRDefault="002D37D6">
            <w:pPr>
              <w:spacing w:before="120" w:after="120" w:line="276" w:lineRule="auto"/>
              <w:ind w:left="112"/>
              <w:rPr>
                <w:rFonts w:eastAsia="Calibri" w:cs="Arial"/>
                <w:b/>
                <w:sz w:val="24"/>
              </w:rPr>
            </w:pPr>
            <w:r w:rsidRPr="0021736D">
              <w:rPr>
                <w:rFonts w:eastAsia="Calibri" w:cs="Arial"/>
                <w:b/>
                <w:sz w:val="24"/>
              </w:rPr>
              <w:t>Commentary</w:t>
            </w:r>
            <w:r w:rsidRPr="7CAE911E">
              <w:rPr>
                <w:rFonts w:eastAsia="Calibri" w:cs="Arial"/>
                <w:b/>
                <w:bCs/>
                <w:sz w:val="24"/>
              </w:rPr>
              <w:t>– to be updated based on agreement of the risk</w:t>
            </w:r>
          </w:p>
        </w:tc>
      </w:tr>
      <w:tr w:rsidR="00FE7291" w:rsidRPr="00A13C06" w14:paraId="4638CCA2" w14:textId="77777777">
        <w:trPr>
          <w:trHeight w:val="1217"/>
        </w:trPr>
        <w:tc>
          <w:tcPr>
            <w:tcW w:w="10348" w:type="dxa"/>
          </w:tcPr>
          <w:p w14:paraId="24F001B8" w14:textId="77777777" w:rsidR="002D37D6" w:rsidRPr="0021736D" w:rsidRDefault="002D37D6">
            <w:pPr>
              <w:spacing w:before="120" w:after="120" w:line="276" w:lineRule="auto"/>
              <w:ind w:left="111"/>
              <w:rPr>
                <w:rFonts w:eastAsia="Calibri" w:cs="Arial"/>
                <w:b/>
                <w:bCs/>
                <w:sz w:val="24"/>
              </w:rPr>
            </w:pPr>
            <w:r>
              <w:rPr>
                <w:rFonts w:eastAsia="Calibri" w:cs="Arial"/>
                <w:b/>
                <w:bCs/>
                <w:sz w:val="24"/>
              </w:rPr>
              <w:t>At</w:t>
            </w:r>
            <w:r w:rsidRPr="0021736D">
              <w:rPr>
                <w:rFonts w:eastAsia="Calibri" w:cs="Arial"/>
                <w:b/>
                <w:bCs/>
                <w:sz w:val="24"/>
              </w:rPr>
              <w:t xml:space="preserve"> tolerance. </w:t>
            </w:r>
          </w:p>
          <w:p w14:paraId="267EB8E7" w14:textId="624920AA" w:rsidR="002D37D6" w:rsidRDefault="002D37D6">
            <w:pPr>
              <w:spacing w:line="276" w:lineRule="auto"/>
              <w:ind w:left="111"/>
              <w:rPr>
                <w:rFonts w:eastAsia="Calibri" w:cs="Arial"/>
                <w:sz w:val="24"/>
              </w:rPr>
            </w:pPr>
            <w:r>
              <w:rPr>
                <w:rFonts w:eastAsia="Calibri" w:cs="Arial"/>
                <w:sz w:val="24"/>
              </w:rPr>
              <w:t>The HTA is approaching the end of the first year of delivering and embedding its Communications &amp; Engagement Strategy. The strategy is underpinned by a commitment for more proactive and open in our communication and engagement with professionals and the public. In the last year this has been tested through day to day operational activity with improvements informed and impact evidenced through website analytics, feedback and a better understanding of how HTA communication and engagement channels are used. A similar approach has been adopted in our engagement with professionals with the establishment of sector based forums and roundtable events. These forums and events have been used to explore specific and emerging issues identified through horizon scanning and specific issues relating to the regulatory approach, sector based practice or the legislative framework. The combined impact of this work reflects an opportunity to clarify and confirm the vision and mission of the HTA and how we work to deliver the safe use of tissues and cells.</w:t>
            </w:r>
          </w:p>
          <w:p w14:paraId="113B72C5" w14:textId="05C2AB85" w:rsidR="002D37D6" w:rsidRDefault="002D37D6">
            <w:pPr>
              <w:spacing w:line="276" w:lineRule="auto"/>
              <w:ind w:left="111"/>
              <w:rPr>
                <w:rFonts w:eastAsia="Calibri" w:cs="Arial"/>
                <w:sz w:val="24"/>
              </w:rPr>
            </w:pPr>
            <w:r>
              <w:rPr>
                <w:rFonts w:eastAsia="Calibri" w:cs="Arial"/>
                <w:sz w:val="24"/>
              </w:rPr>
              <w:t xml:space="preserve">The HTA acknowledges that to continue to regulate effectively it is important that it understand the impact of its activities whilst at the same time continuing to be responsive to innovation and growth across Life Sciences. The HTA has recently started a piece of work that seeks to assess the impact of the HTA as a regulator and its activities. This will culminate in a publication the aim of which will be to share insight and feedback on the regulated activities and sectors and promote public confidence in the safe use of tissues and cells.  </w:t>
            </w:r>
          </w:p>
          <w:p w14:paraId="399FECEA" w14:textId="183ABD59" w:rsidR="002D37D6" w:rsidRDefault="002D37D6">
            <w:pPr>
              <w:spacing w:line="276" w:lineRule="auto"/>
              <w:ind w:left="111"/>
              <w:rPr>
                <w:rFonts w:eastAsia="Calibri" w:cs="Arial"/>
                <w:sz w:val="24"/>
              </w:rPr>
            </w:pPr>
            <w:r>
              <w:rPr>
                <w:rFonts w:eastAsia="Calibri" w:cs="Arial"/>
                <w:sz w:val="24"/>
              </w:rPr>
              <w:t>Looking ahead at 2023/24 the HTA will be reviewing its Strategy. This will set the direction of travel for the next 3 years and potentially beyond as well as showcasing the ongoing importance of regulating the use of human tissues and cells.</w:t>
            </w:r>
          </w:p>
          <w:p w14:paraId="1B8130C6" w14:textId="68957478" w:rsidR="002D37D6" w:rsidRPr="00A13C06" w:rsidRDefault="002D37D6">
            <w:pPr>
              <w:spacing w:line="276" w:lineRule="auto"/>
              <w:ind w:left="111"/>
              <w:rPr>
                <w:rFonts w:eastAsia="Calibri" w:cs="Arial"/>
              </w:rPr>
            </w:pPr>
            <w:r w:rsidRPr="00CE3F27">
              <w:rPr>
                <w:rFonts w:eastAsia="Calibri"/>
                <w:sz w:val="24"/>
              </w:rPr>
              <w:t xml:space="preserve">SMT </w:t>
            </w:r>
            <w:r>
              <w:rPr>
                <w:rFonts w:eastAsia="Calibri"/>
                <w:sz w:val="24"/>
              </w:rPr>
              <w:t>consider</w:t>
            </w:r>
            <w:r w:rsidRPr="00CE3F27">
              <w:rPr>
                <w:rFonts w:eastAsia="Calibri"/>
                <w:sz w:val="24"/>
              </w:rPr>
              <w:t xml:space="preserve"> this risk </w:t>
            </w:r>
            <w:r>
              <w:rPr>
                <w:rFonts w:eastAsia="Calibri"/>
                <w:sz w:val="24"/>
              </w:rPr>
              <w:t xml:space="preserve">to </w:t>
            </w:r>
            <w:r w:rsidR="002C6760">
              <w:rPr>
                <w:rFonts w:eastAsia="Calibri"/>
                <w:sz w:val="24"/>
              </w:rPr>
              <w:t xml:space="preserve">be </w:t>
            </w:r>
            <w:r>
              <w:rPr>
                <w:rFonts w:eastAsia="Calibri"/>
                <w:sz w:val="24"/>
              </w:rPr>
              <w:t>at tolerance</w:t>
            </w:r>
            <w:r w:rsidRPr="00CE3F27">
              <w:rPr>
                <w:rFonts w:eastAsia="Calibri"/>
                <w:sz w:val="24"/>
              </w:rPr>
              <w:t>.</w:t>
            </w:r>
          </w:p>
        </w:tc>
      </w:tr>
    </w:tbl>
    <w:p w14:paraId="0C0F3F3E" w14:textId="77777777" w:rsidR="002D37D6" w:rsidRDefault="002D37D6" w:rsidP="002D37D6">
      <w:pPr>
        <w:rPr>
          <w:rFonts w:eastAsia="Calibri"/>
          <w:b/>
        </w:rPr>
      </w:pPr>
    </w:p>
    <w:p w14:paraId="3FF9DF93" w14:textId="77777777" w:rsidR="002D37D6" w:rsidRDefault="002D37D6" w:rsidP="002D37D6">
      <w:pPr>
        <w:rPr>
          <w:b/>
        </w:rPr>
      </w:pPr>
      <w:r>
        <w:rPr>
          <w:rFonts w:eastAsia="Calibri"/>
          <w:b/>
        </w:rPr>
        <w:br w:type="page"/>
      </w:r>
      <w:r w:rsidRPr="00E97D37">
        <w:rPr>
          <w:b/>
        </w:rPr>
        <w:lastRenderedPageBreak/>
        <w:t xml:space="preserve">R4: </w:t>
      </w:r>
      <w:r>
        <w:rPr>
          <w:b/>
        </w:rPr>
        <w:t xml:space="preserve">Failure to adequately deliver </w:t>
      </w:r>
      <w:r w:rsidRPr="1CFD7198">
        <w:rPr>
          <w:b/>
        </w:rPr>
        <w:t>the</w:t>
      </w:r>
      <w:r>
        <w:rPr>
          <w:b/>
        </w:rPr>
        <w:t xml:space="preserve"> diverse, capable workforce the HTA requires or needs to fulfil its functions and objectives</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4"/>
        <w:gridCol w:w="1725"/>
        <w:gridCol w:w="1725"/>
        <w:gridCol w:w="1724"/>
        <w:gridCol w:w="1725"/>
        <w:gridCol w:w="1725"/>
      </w:tblGrid>
      <w:tr w:rsidR="00FE7291" w:rsidRPr="00A13C06" w14:paraId="06F1C36F" w14:textId="77777777">
        <w:tc>
          <w:tcPr>
            <w:tcW w:w="51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BE959F4" w14:textId="77777777" w:rsidR="002D37D6" w:rsidRPr="00E97D37" w:rsidRDefault="002D37D6">
            <w:pPr>
              <w:spacing w:before="120" w:after="120"/>
              <w:ind w:left="41"/>
              <w:rPr>
                <w:rFonts w:eastAsia="Calibri" w:cs="Arial"/>
                <w:b/>
                <w:sz w:val="24"/>
              </w:rPr>
            </w:pPr>
            <w:r w:rsidRPr="00E97D37">
              <w:rPr>
                <w:rFonts w:eastAsia="Calibri" w:cs="Arial"/>
                <w:b/>
                <w:sz w:val="24"/>
              </w:rPr>
              <w:t>Inherent risk level:</w:t>
            </w:r>
          </w:p>
        </w:tc>
        <w:tc>
          <w:tcPr>
            <w:tcW w:w="51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2CACE7" w14:textId="77777777" w:rsidR="002D37D6" w:rsidRPr="00E97D37" w:rsidRDefault="002D37D6">
            <w:pPr>
              <w:spacing w:before="120" w:after="120"/>
              <w:ind w:left="41"/>
              <w:rPr>
                <w:rFonts w:eastAsia="Calibri" w:cs="Arial"/>
                <w:b/>
                <w:sz w:val="24"/>
              </w:rPr>
            </w:pPr>
            <w:r w:rsidRPr="00E97D37">
              <w:rPr>
                <w:rFonts w:eastAsia="Calibri" w:cs="Arial"/>
                <w:b/>
                <w:sz w:val="24"/>
              </w:rPr>
              <w:t>Residual risk level:</w:t>
            </w:r>
          </w:p>
        </w:tc>
      </w:tr>
      <w:tr w:rsidR="009657C0" w:rsidRPr="00A13C06" w14:paraId="648258DB" w14:textId="77777777">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hideMark/>
          </w:tcPr>
          <w:p w14:paraId="03E31E92" w14:textId="77777777" w:rsidR="002D37D6" w:rsidRPr="00E97D37" w:rsidRDefault="002D37D6">
            <w:pPr>
              <w:spacing w:before="120" w:after="120"/>
              <w:ind w:left="40"/>
              <w:rPr>
                <w:rFonts w:eastAsia="Calibri" w:cs="Arial"/>
                <w:sz w:val="24"/>
              </w:rPr>
            </w:pPr>
            <w:r w:rsidRPr="00E97D37">
              <w:rPr>
                <w:rFonts w:eastAsia="Calibri" w:cs="Arial"/>
                <w:sz w:val="24"/>
              </w:rPr>
              <w:t xml:space="preserve">Likelihood </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hideMark/>
          </w:tcPr>
          <w:p w14:paraId="3B1875B6" w14:textId="77777777" w:rsidR="002D37D6" w:rsidRPr="00E97D37" w:rsidRDefault="002D37D6">
            <w:pPr>
              <w:spacing w:before="120" w:after="120"/>
              <w:ind w:left="40"/>
              <w:rPr>
                <w:rFonts w:eastAsia="Calibri" w:cs="Arial"/>
                <w:sz w:val="24"/>
              </w:rPr>
            </w:pPr>
            <w:r w:rsidRPr="00E97D37">
              <w:rPr>
                <w:rFonts w:eastAsia="Calibri" w:cs="Arial"/>
                <w:sz w:val="24"/>
              </w:rPr>
              <w:t xml:space="preserve">Impact </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hideMark/>
          </w:tcPr>
          <w:p w14:paraId="346897EB" w14:textId="77777777" w:rsidR="002D37D6" w:rsidRPr="00E97D37" w:rsidRDefault="002D37D6">
            <w:pPr>
              <w:spacing w:before="120" w:after="120"/>
              <w:ind w:left="40"/>
              <w:rPr>
                <w:rFonts w:eastAsia="Calibri" w:cs="Arial"/>
                <w:sz w:val="24"/>
              </w:rPr>
            </w:pPr>
            <w:r w:rsidRPr="00E97D37">
              <w:rPr>
                <w:rFonts w:eastAsia="Calibri" w:cs="Arial"/>
                <w:sz w:val="24"/>
              </w:rPr>
              <w:t>Inherent risk</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tcPr>
          <w:p w14:paraId="2B98EC49" w14:textId="77777777" w:rsidR="002D37D6" w:rsidRPr="00E97D37" w:rsidRDefault="002D37D6">
            <w:pPr>
              <w:spacing w:before="120" w:after="120"/>
              <w:ind w:left="40"/>
              <w:rPr>
                <w:rFonts w:eastAsia="Calibri" w:cs="Arial"/>
                <w:sz w:val="24"/>
              </w:rPr>
            </w:pPr>
            <w:r w:rsidRPr="00E97D37">
              <w:rPr>
                <w:rFonts w:eastAsia="Calibri" w:cs="Arial"/>
                <w:b/>
                <w:sz w:val="24"/>
              </w:rPr>
              <w:t>Likelihood</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tcPr>
          <w:p w14:paraId="24AD8529" w14:textId="77777777" w:rsidR="002D37D6" w:rsidRPr="00E97D37" w:rsidRDefault="002D37D6">
            <w:pPr>
              <w:spacing w:before="120" w:after="120"/>
              <w:ind w:left="40"/>
              <w:rPr>
                <w:rFonts w:eastAsia="Calibri" w:cs="Arial"/>
                <w:b/>
                <w:sz w:val="24"/>
              </w:rPr>
            </w:pPr>
            <w:r w:rsidRPr="00E97D37">
              <w:rPr>
                <w:rFonts w:eastAsia="Calibri" w:cs="Arial"/>
                <w:b/>
                <w:sz w:val="24"/>
              </w:rPr>
              <w:t>Impact</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tcPr>
          <w:p w14:paraId="2FDA4B2A" w14:textId="77777777" w:rsidR="002D37D6" w:rsidRPr="00E97D37" w:rsidRDefault="002D37D6">
            <w:pPr>
              <w:spacing w:before="120" w:after="120"/>
              <w:ind w:left="40"/>
              <w:rPr>
                <w:rFonts w:eastAsia="Calibri" w:cs="Arial"/>
                <w:b/>
                <w:sz w:val="24"/>
              </w:rPr>
            </w:pPr>
            <w:r w:rsidRPr="00E97D37">
              <w:rPr>
                <w:rFonts w:eastAsia="Calibri" w:cs="Arial"/>
                <w:b/>
                <w:sz w:val="24"/>
              </w:rPr>
              <w:t>Residual risk</w:t>
            </w:r>
          </w:p>
        </w:tc>
      </w:tr>
      <w:tr w:rsidR="009657C0" w:rsidRPr="00A13C06" w14:paraId="6E779F5C" w14:textId="77777777">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7B826" w14:textId="77777777" w:rsidR="002D37D6" w:rsidRPr="00E97D37" w:rsidRDefault="002D37D6">
            <w:pPr>
              <w:spacing w:before="120" w:after="120"/>
              <w:ind w:left="40"/>
              <w:rPr>
                <w:rFonts w:eastAsia="Calibri" w:cs="Arial"/>
                <w:sz w:val="24"/>
              </w:rPr>
            </w:pPr>
            <w:r>
              <w:rPr>
                <w:rFonts w:eastAsia="Calibri" w:cs="Arial"/>
                <w:sz w:val="24"/>
              </w:rPr>
              <w:t>4</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08DE8" w14:textId="77777777" w:rsidR="002D37D6" w:rsidRPr="00E97D37" w:rsidRDefault="002D37D6">
            <w:pPr>
              <w:spacing w:before="120" w:after="120"/>
              <w:ind w:left="40"/>
              <w:rPr>
                <w:rFonts w:eastAsia="Calibri" w:cs="Arial"/>
                <w:sz w:val="24"/>
              </w:rPr>
            </w:pPr>
            <w:r>
              <w:rPr>
                <w:rFonts w:eastAsia="Calibri" w:cs="Arial"/>
                <w:sz w:val="24"/>
              </w:rPr>
              <w:t>3</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68D0B9BF" w14:textId="77777777" w:rsidR="002D37D6" w:rsidRPr="00E97D37" w:rsidRDefault="002D37D6">
            <w:pPr>
              <w:spacing w:before="120" w:after="120"/>
              <w:ind w:left="40"/>
              <w:rPr>
                <w:rFonts w:eastAsia="Calibri" w:cs="Arial"/>
                <w:sz w:val="24"/>
              </w:rPr>
            </w:pPr>
            <w:r>
              <w:rPr>
                <w:rFonts w:eastAsia="Calibri" w:cs="Arial"/>
                <w:sz w:val="24"/>
              </w:rPr>
              <w:t>12 - High</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72C4A2" w14:textId="77777777" w:rsidR="002D37D6" w:rsidRPr="00E97D37" w:rsidRDefault="002D37D6">
            <w:pPr>
              <w:spacing w:before="120" w:after="120"/>
              <w:ind w:left="40"/>
              <w:rPr>
                <w:rFonts w:eastAsia="Calibri" w:cs="Arial"/>
                <w:b/>
                <w:sz w:val="24"/>
              </w:rPr>
            </w:pPr>
            <w:r>
              <w:rPr>
                <w:rFonts w:eastAsia="Calibri" w:cs="Arial"/>
                <w:b/>
                <w:sz w:val="24"/>
              </w:rPr>
              <w:t>3</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EE3214" w14:textId="77777777" w:rsidR="002D37D6" w:rsidRPr="00E97D37" w:rsidRDefault="002D37D6">
            <w:pPr>
              <w:spacing w:before="120" w:after="120"/>
              <w:ind w:left="40"/>
              <w:rPr>
                <w:rFonts w:eastAsia="Calibri" w:cs="Arial"/>
                <w:b/>
                <w:sz w:val="24"/>
              </w:rPr>
            </w:pPr>
            <w:r>
              <w:rPr>
                <w:rFonts w:eastAsia="Calibri" w:cs="Arial"/>
                <w:b/>
                <w:sz w:val="24"/>
              </w:rPr>
              <w:t>3</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4003D7B9" w14:textId="77777777" w:rsidR="002D37D6" w:rsidRPr="00E97D37" w:rsidRDefault="002D37D6">
            <w:pPr>
              <w:spacing w:before="120" w:after="120"/>
              <w:rPr>
                <w:rFonts w:eastAsia="Calibri" w:cs="Arial"/>
                <w:b/>
                <w:sz w:val="24"/>
              </w:rPr>
            </w:pPr>
            <w:r>
              <w:rPr>
                <w:rFonts w:eastAsia="Calibri" w:cs="Arial"/>
                <w:b/>
                <w:sz w:val="24"/>
              </w:rPr>
              <w:t>9 - Medium</w:t>
            </w:r>
          </w:p>
        </w:tc>
      </w:tr>
      <w:tr w:rsidR="009657C0" w:rsidRPr="00A13C06" w14:paraId="7BF959E8" w14:textId="77777777">
        <w:tc>
          <w:tcPr>
            <w:tcW w:w="862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E296D60" w14:textId="77777777" w:rsidR="002D37D6" w:rsidRPr="00E97D37" w:rsidRDefault="002D37D6">
            <w:pPr>
              <w:spacing w:before="120" w:after="120"/>
              <w:ind w:left="40"/>
              <w:rPr>
                <w:rFonts w:eastAsia="Calibri" w:cs="Arial"/>
                <w:b/>
                <w:sz w:val="24"/>
              </w:rPr>
            </w:pPr>
            <w:r w:rsidRPr="00E97D37">
              <w:rPr>
                <w:rFonts w:eastAsia="Calibri" w:cs="Arial"/>
                <w:b/>
                <w:sz w:val="24"/>
              </w:rPr>
              <w:t xml:space="preserve">Tolerance threshold: </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1655FDE1" w14:textId="77777777" w:rsidR="002D37D6" w:rsidRPr="00E97D37" w:rsidRDefault="002D37D6">
            <w:pPr>
              <w:spacing w:before="120" w:after="120"/>
              <w:rPr>
                <w:rFonts w:eastAsia="Calibri" w:cs="Arial"/>
                <w:b/>
                <w:sz w:val="24"/>
              </w:rPr>
            </w:pPr>
            <w:r w:rsidRPr="00E97D37">
              <w:rPr>
                <w:rFonts w:eastAsia="Calibri" w:cs="Arial"/>
                <w:b/>
                <w:sz w:val="24"/>
              </w:rPr>
              <w:t xml:space="preserve">9 </w:t>
            </w:r>
            <w:r>
              <w:rPr>
                <w:rFonts w:eastAsia="Calibri" w:cs="Arial"/>
                <w:b/>
                <w:sz w:val="24"/>
              </w:rPr>
              <w:t>–</w:t>
            </w:r>
            <w:r w:rsidRPr="00E97D37">
              <w:rPr>
                <w:rFonts w:eastAsia="Calibri" w:cs="Arial"/>
                <w:b/>
                <w:sz w:val="24"/>
              </w:rPr>
              <w:t xml:space="preserve"> Medium</w:t>
            </w:r>
          </w:p>
        </w:tc>
      </w:tr>
    </w:tbl>
    <w:p w14:paraId="27FB09D3" w14:textId="77777777" w:rsidR="002D37D6" w:rsidRDefault="002D37D6" w:rsidP="002D37D6">
      <w:pPr>
        <w:rPr>
          <w:rFonts w:eastAsia="Calibri"/>
          <w:b/>
        </w:rPr>
      </w:pPr>
    </w:p>
    <w:tbl>
      <w:tblPr>
        <w:tblW w:w="10348"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28" w:type="dxa"/>
          <w:right w:w="28" w:type="dxa"/>
        </w:tblCellMar>
        <w:tblLook w:val="04A0" w:firstRow="1" w:lastRow="0" w:firstColumn="1" w:lastColumn="0" w:noHBand="0" w:noVBand="1"/>
      </w:tblPr>
      <w:tblGrid>
        <w:gridCol w:w="10348"/>
      </w:tblGrid>
      <w:tr w:rsidR="00FE7291" w:rsidRPr="00A13C06" w14:paraId="03D967D4" w14:textId="77777777">
        <w:trPr>
          <w:trHeight w:val="510"/>
        </w:trPr>
        <w:tc>
          <w:tcPr>
            <w:tcW w:w="10348" w:type="dxa"/>
          </w:tcPr>
          <w:p w14:paraId="64B4B6E5" w14:textId="77777777" w:rsidR="002D37D6" w:rsidRPr="00E97D37" w:rsidRDefault="002D37D6">
            <w:pPr>
              <w:spacing w:before="120" w:after="120"/>
              <w:ind w:left="112"/>
              <w:rPr>
                <w:rFonts w:eastAsia="Calibri" w:cs="Arial"/>
                <w:b/>
                <w:sz w:val="24"/>
              </w:rPr>
            </w:pPr>
            <w:r w:rsidRPr="00E97D37">
              <w:rPr>
                <w:rFonts w:eastAsia="Calibri" w:cs="Arial"/>
                <w:b/>
                <w:sz w:val="24"/>
              </w:rPr>
              <w:t>Commentary</w:t>
            </w:r>
          </w:p>
        </w:tc>
      </w:tr>
      <w:tr w:rsidR="00FE7291" w:rsidRPr="00A13C06" w14:paraId="71209366" w14:textId="77777777">
        <w:trPr>
          <w:trHeight w:val="1217"/>
        </w:trPr>
        <w:tc>
          <w:tcPr>
            <w:tcW w:w="10348" w:type="dxa"/>
          </w:tcPr>
          <w:p w14:paraId="4670F46D" w14:textId="77777777" w:rsidR="002D37D6" w:rsidRPr="00A13C06" w:rsidRDefault="002D37D6" w:rsidP="00A8544C">
            <w:pPr>
              <w:spacing w:before="120" w:after="120"/>
              <w:ind w:left="113"/>
              <w:rPr>
                <w:rFonts w:eastAsia="Calibri" w:cs="Arial"/>
                <w:b/>
                <w:bCs/>
              </w:rPr>
            </w:pPr>
            <w:r>
              <w:rPr>
                <w:rFonts w:eastAsia="Calibri" w:cs="Arial"/>
                <w:b/>
                <w:bCs/>
              </w:rPr>
              <w:t>At</w:t>
            </w:r>
            <w:r w:rsidRPr="00A13C06">
              <w:rPr>
                <w:rFonts w:eastAsia="Calibri" w:cs="Arial"/>
                <w:b/>
                <w:bCs/>
              </w:rPr>
              <w:t xml:space="preserve"> tolerance. </w:t>
            </w:r>
          </w:p>
          <w:p w14:paraId="765DCD37" w14:textId="77777777" w:rsidR="002D37D6" w:rsidRDefault="002D37D6" w:rsidP="00A8544C">
            <w:pPr>
              <w:spacing w:before="120" w:after="120"/>
              <w:ind w:left="113"/>
              <w:rPr>
                <w:rFonts w:eastAsia="Calibri" w:cs="Arial"/>
              </w:rPr>
            </w:pPr>
            <w:r>
              <w:rPr>
                <w:rFonts w:eastAsia="Calibri" w:cs="Arial"/>
              </w:rPr>
              <w:t>We start of the 2023/34 business year with far fewer vacancies to fill that the same period last year.  Churn and recruitment have returned to within expected tolerances, and with the exception of one IT post, we have been able to successfully fill most vacancies from the initial recruitment round.</w:t>
            </w:r>
          </w:p>
          <w:p w14:paraId="0796AC19" w14:textId="511DC78A" w:rsidR="002D37D6" w:rsidRDefault="002D37D6" w:rsidP="00A8544C">
            <w:pPr>
              <w:spacing w:before="120" w:after="120"/>
              <w:ind w:left="113"/>
              <w:rPr>
                <w:rFonts w:eastAsia="Calibri" w:cs="Arial"/>
              </w:rPr>
            </w:pPr>
            <w:r>
              <w:rPr>
                <w:rFonts w:eastAsia="Calibri" w:cs="Arial"/>
              </w:rPr>
              <w:t>Retention of colleagues will remain an issue, our overall package of salary and benefits remains competitive across the public sector sphere in which we operate – although headline gross pay does not always seem competitive with the NHS. Our revised approach to advertising, and the work to review our salary bands, will manage internal and external expectations around salary – although the continued absence of real terms pay progression to band maximum will likely mean that churn will remain an issue and the lack of progression within the organisation a barrier to retaining necessary internally developed skills.  We must continue to acknowledge that a number of our functions rely on single individuals and that unexpected departures in key roles will inevitably impact on delivery of some key outputs in the short term – this risk is further exacerbated by the difficulty current DHSC controls on the use of contingent labour.</w:t>
            </w:r>
          </w:p>
          <w:p w14:paraId="3A54EAF6" w14:textId="6736AC84" w:rsidR="002D37D6" w:rsidRPr="0009257C" w:rsidRDefault="002D37D6" w:rsidP="00A8544C">
            <w:pPr>
              <w:spacing w:before="120" w:after="120"/>
              <w:ind w:left="113"/>
              <w:rPr>
                <w:rFonts w:eastAsia="Calibri" w:cs="Arial"/>
              </w:rPr>
            </w:pPr>
            <w:r>
              <w:rPr>
                <w:rFonts w:eastAsia="Calibri" w:cs="Arial"/>
              </w:rPr>
              <w:t>The transition to outsourced shared services should not impact significantly on key HR operations as we transition and in the medium term we feel this will provide a greater breadth of options and services available to our colleagues. There will need to be careful management of areas such as corporate training and organisational development to ensure that this is not lost sight of as internal HR colleagues are required to focus more on transition and handover to CQC.</w:t>
            </w:r>
          </w:p>
          <w:p w14:paraId="66C6BBD4" w14:textId="77777777" w:rsidR="002D37D6" w:rsidRPr="00A13C06" w:rsidRDefault="002D37D6">
            <w:pPr>
              <w:spacing w:before="120" w:after="120" w:line="276" w:lineRule="auto"/>
              <w:rPr>
                <w:rFonts w:eastAsia="Calibri" w:cs="Arial"/>
              </w:rPr>
            </w:pPr>
          </w:p>
        </w:tc>
      </w:tr>
    </w:tbl>
    <w:p w14:paraId="09C392AA" w14:textId="77777777" w:rsidR="002D37D6" w:rsidRDefault="002D37D6" w:rsidP="002D37D6"/>
    <w:p w14:paraId="2EDE38BC" w14:textId="77777777" w:rsidR="002D37D6" w:rsidRDefault="002D37D6" w:rsidP="002D37D6">
      <w:pPr>
        <w:rPr>
          <w:rFonts w:eastAsia="Calibri" w:cstheme="majorBidi"/>
          <w:b/>
          <w:sz w:val="24"/>
        </w:rPr>
      </w:pPr>
      <w:r>
        <w:br w:type="page"/>
      </w:r>
    </w:p>
    <w:p w14:paraId="1E3347E2" w14:textId="77777777" w:rsidR="002D37D6" w:rsidRPr="007C2009" w:rsidRDefault="002D37D6" w:rsidP="002D37D6">
      <w:pPr>
        <w:pStyle w:val="Heading2"/>
        <w:rPr>
          <w:color w:val="auto"/>
          <w:szCs w:val="24"/>
        </w:rPr>
      </w:pPr>
      <w:r w:rsidRPr="007C2009">
        <w:rPr>
          <w:color w:val="auto"/>
          <w:szCs w:val="24"/>
        </w:rPr>
        <w:lastRenderedPageBreak/>
        <w:t>R5: There is a risk that the HTA has insufficient or ineffective management of its financial resources</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4"/>
        <w:gridCol w:w="1725"/>
        <w:gridCol w:w="1725"/>
        <w:gridCol w:w="1724"/>
        <w:gridCol w:w="1725"/>
        <w:gridCol w:w="1725"/>
      </w:tblGrid>
      <w:tr w:rsidR="00FE7291" w:rsidRPr="007C2009" w14:paraId="76095E0F" w14:textId="77777777">
        <w:tc>
          <w:tcPr>
            <w:tcW w:w="5174" w:type="dxa"/>
            <w:gridSpan w:val="3"/>
            <w:shd w:val="clear" w:color="auto" w:fill="auto"/>
            <w:hideMark/>
          </w:tcPr>
          <w:p w14:paraId="30597CCC" w14:textId="77777777" w:rsidR="002D37D6" w:rsidRPr="007C2009" w:rsidRDefault="002D37D6">
            <w:pPr>
              <w:spacing w:before="120" w:after="120"/>
              <w:ind w:left="41"/>
              <w:rPr>
                <w:rFonts w:eastAsia="Calibri" w:cs="Arial"/>
                <w:b/>
                <w:sz w:val="24"/>
              </w:rPr>
            </w:pPr>
            <w:r w:rsidRPr="007C2009">
              <w:rPr>
                <w:rFonts w:eastAsia="Calibri" w:cs="Arial"/>
                <w:b/>
                <w:sz w:val="24"/>
              </w:rPr>
              <w:t>Inherent risk level:</w:t>
            </w:r>
          </w:p>
        </w:tc>
        <w:tc>
          <w:tcPr>
            <w:tcW w:w="5174" w:type="dxa"/>
            <w:gridSpan w:val="3"/>
            <w:shd w:val="clear" w:color="auto" w:fill="auto"/>
          </w:tcPr>
          <w:p w14:paraId="741573D3" w14:textId="77777777" w:rsidR="002D37D6" w:rsidRPr="007C2009" w:rsidRDefault="002D37D6">
            <w:pPr>
              <w:spacing w:before="120" w:after="120"/>
              <w:ind w:left="41"/>
              <w:rPr>
                <w:rFonts w:eastAsia="Calibri" w:cs="Arial"/>
                <w:b/>
                <w:sz w:val="24"/>
              </w:rPr>
            </w:pPr>
            <w:r w:rsidRPr="007C2009">
              <w:rPr>
                <w:rFonts w:eastAsia="Calibri" w:cs="Arial"/>
                <w:b/>
                <w:sz w:val="24"/>
              </w:rPr>
              <w:t>Residual risk level:</w:t>
            </w:r>
          </w:p>
        </w:tc>
      </w:tr>
      <w:tr w:rsidR="009657C0" w:rsidRPr="007C2009" w14:paraId="3B5980D6" w14:textId="77777777">
        <w:tc>
          <w:tcPr>
            <w:tcW w:w="1724" w:type="dxa"/>
            <w:shd w:val="clear" w:color="auto" w:fill="E5F0FF"/>
            <w:hideMark/>
          </w:tcPr>
          <w:p w14:paraId="606A61C1" w14:textId="77777777" w:rsidR="002D37D6" w:rsidRPr="007C2009" w:rsidRDefault="002D37D6">
            <w:pPr>
              <w:spacing w:before="120" w:after="120"/>
              <w:ind w:left="40"/>
              <w:rPr>
                <w:rFonts w:eastAsia="Calibri" w:cs="Arial"/>
                <w:sz w:val="24"/>
              </w:rPr>
            </w:pPr>
            <w:r w:rsidRPr="007C2009">
              <w:rPr>
                <w:rFonts w:eastAsia="Calibri" w:cs="Arial"/>
                <w:sz w:val="24"/>
              </w:rPr>
              <w:t xml:space="preserve">Likelihood </w:t>
            </w:r>
          </w:p>
        </w:tc>
        <w:tc>
          <w:tcPr>
            <w:tcW w:w="1725" w:type="dxa"/>
            <w:shd w:val="clear" w:color="auto" w:fill="E5F0FF"/>
            <w:hideMark/>
          </w:tcPr>
          <w:p w14:paraId="6C351023" w14:textId="77777777" w:rsidR="002D37D6" w:rsidRPr="007C2009" w:rsidRDefault="002D37D6">
            <w:pPr>
              <w:spacing w:before="120" w:after="120"/>
              <w:ind w:left="40"/>
              <w:rPr>
                <w:rFonts w:eastAsia="Calibri" w:cs="Arial"/>
                <w:sz w:val="24"/>
              </w:rPr>
            </w:pPr>
            <w:r w:rsidRPr="007C2009">
              <w:rPr>
                <w:rFonts w:eastAsia="Calibri" w:cs="Arial"/>
                <w:sz w:val="24"/>
              </w:rPr>
              <w:t xml:space="preserve">Impact </w:t>
            </w:r>
          </w:p>
        </w:tc>
        <w:tc>
          <w:tcPr>
            <w:tcW w:w="1725" w:type="dxa"/>
            <w:shd w:val="clear" w:color="auto" w:fill="E5F0FF"/>
            <w:hideMark/>
          </w:tcPr>
          <w:p w14:paraId="4AB9058D" w14:textId="77777777" w:rsidR="002D37D6" w:rsidRPr="007C2009" w:rsidRDefault="002D37D6">
            <w:pPr>
              <w:spacing w:before="120" w:after="120"/>
              <w:ind w:left="40"/>
              <w:rPr>
                <w:rFonts w:eastAsia="Calibri" w:cs="Arial"/>
                <w:sz w:val="24"/>
              </w:rPr>
            </w:pPr>
            <w:r w:rsidRPr="007C2009">
              <w:rPr>
                <w:rFonts w:eastAsia="Calibri" w:cs="Arial"/>
                <w:sz w:val="24"/>
              </w:rPr>
              <w:t>Inherent risk</w:t>
            </w:r>
          </w:p>
        </w:tc>
        <w:tc>
          <w:tcPr>
            <w:tcW w:w="1724" w:type="dxa"/>
            <w:shd w:val="clear" w:color="auto" w:fill="E5F0FF"/>
          </w:tcPr>
          <w:p w14:paraId="3716CF5C" w14:textId="77777777" w:rsidR="002D37D6" w:rsidRPr="007C2009" w:rsidRDefault="002D37D6">
            <w:pPr>
              <w:spacing w:before="120" w:after="120"/>
              <w:ind w:left="40"/>
              <w:rPr>
                <w:rFonts w:eastAsia="Calibri" w:cs="Arial"/>
                <w:sz w:val="24"/>
              </w:rPr>
            </w:pPr>
            <w:r w:rsidRPr="007C2009">
              <w:rPr>
                <w:rFonts w:eastAsia="Calibri" w:cs="Arial"/>
                <w:b/>
                <w:sz w:val="24"/>
              </w:rPr>
              <w:t>Likelihood</w:t>
            </w:r>
          </w:p>
        </w:tc>
        <w:tc>
          <w:tcPr>
            <w:tcW w:w="1725" w:type="dxa"/>
            <w:shd w:val="clear" w:color="auto" w:fill="E5F0FF"/>
          </w:tcPr>
          <w:p w14:paraId="011DCDCC" w14:textId="77777777" w:rsidR="002D37D6" w:rsidRPr="007C2009" w:rsidRDefault="002D37D6">
            <w:pPr>
              <w:spacing w:before="120" w:after="120"/>
              <w:ind w:left="40"/>
              <w:rPr>
                <w:rFonts w:eastAsia="Calibri" w:cs="Arial"/>
                <w:b/>
                <w:sz w:val="24"/>
              </w:rPr>
            </w:pPr>
            <w:r w:rsidRPr="007C2009">
              <w:rPr>
                <w:rFonts w:eastAsia="Calibri" w:cs="Arial"/>
                <w:b/>
                <w:sz w:val="24"/>
              </w:rPr>
              <w:t>Impact</w:t>
            </w:r>
          </w:p>
        </w:tc>
        <w:tc>
          <w:tcPr>
            <w:tcW w:w="1725" w:type="dxa"/>
            <w:shd w:val="clear" w:color="auto" w:fill="E5F0FF"/>
          </w:tcPr>
          <w:p w14:paraId="6F6CC89F" w14:textId="77777777" w:rsidR="002D37D6" w:rsidRPr="007C2009" w:rsidRDefault="002D37D6">
            <w:pPr>
              <w:spacing w:before="120" w:after="120"/>
              <w:ind w:left="40"/>
              <w:rPr>
                <w:rFonts w:eastAsia="Calibri" w:cs="Arial"/>
                <w:b/>
                <w:sz w:val="24"/>
              </w:rPr>
            </w:pPr>
            <w:r w:rsidRPr="007C2009">
              <w:rPr>
                <w:rFonts w:eastAsia="Calibri" w:cs="Arial"/>
                <w:b/>
                <w:sz w:val="24"/>
              </w:rPr>
              <w:t>Residual risk</w:t>
            </w:r>
          </w:p>
        </w:tc>
      </w:tr>
      <w:tr w:rsidR="009657C0" w:rsidRPr="007C2009" w14:paraId="797F1174" w14:textId="77777777">
        <w:tc>
          <w:tcPr>
            <w:tcW w:w="1724" w:type="dxa"/>
          </w:tcPr>
          <w:p w14:paraId="73B06788" w14:textId="77777777" w:rsidR="002D37D6" w:rsidRPr="007C2009" w:rsidRDefault="002D37D6">
            <w:pPr>
              <w:spacing w:before="120" w:after="120"/>
              <w:ind w:left="40"/>
              <w:rPr>
                <w:rFonts w:eastAsia="Calibri" w:cs="Arial"/>
                <w:sz w:val="24"/>
              </w:rPr>
            </w:pPr>
            <w:r w:rsidRPr="007C2009">
              <w:rPr>
                <w:rFonts w:eastAsia="Calibri" w:cs="Arial"/>
                <w:sz w:val="24"/>
              </w:rPr>
              <w:t>4</w:t>
            </w:r>
          </w:p>
        </w:tc>
        <w:tc>
          <w:tcPr>
            <w:tcW w:w="1725" w:type="dxa"/>
          </w:tcPr>
          <w:p w14:paraId="5180CBC9" w14:textId="77777777" w:rsidR="002D37D6" w:rsidRPr="007C2009" w:rsidRDefault="002D37D6">
            <w:pPr>
              <w:spacing w:before="120" w:after="120"/>
              <w:ind w:left="40"/>
              <w:rPr>
                <w:rFonts w:eastAsia="Calibri" w:cs="Arial"/>
                <w:sz w:val="24"/>
              </w:rPr>
            </w:pPr>
            <w:r w:rsidRPr="007C2009">
              <w:rPr>
                <w:rFonts w:eastAsia="Calibri" w:cs="Arial"/>
                <w:sz w:val="24"/>
              </w:rPr>
              <w:t>5</w:t>
            </w:r>
          </w:p>
        </w:tc>
        <w:tc>
          <w:tcPr>
            <w:tcW w:w="1725" w:type="dxa"/>
            <w:shd w:val="clear" w:color="auto" w:fill="FF0000"/>
          </w:tcPr>
          <w:p w14:paraId="5516AFC4" w14:textId="77777777" w:rsidR="002D37D6" w:rsidRPr="007C2009" w:rsidRDefault="002D37D6">
            <w:pPr>
              <w:spacing w:before="120" w:after="120"/>
              <w:ind w:left="40"/>
              <w:rPr>
                <w:rFonts w:eastAsia="Calibri" w:cs="Arial"/>
                <w:sz w:val="24"/>
              </w:rPr>
            </w:pPr>
            <w:r>
              <w:rPr>
                <w:rFonts w:eastAsia="Calibri" w:cs="Arial"/>
                <w:sz w:val="24"/>
              </w:rPr>
              <w:t>20</w:t>
            </w:r>
            <w:r w:rsidRPr="007C2009">
              <w:rPr>
                <w:rFonts w:eastAsia="Calibri" w:cs="Arial"/>
                <w:sz w:val="24"/>
              </w:rPr>
              <w:t xml:space="preserve"> – </w:t>
            </w:r>
            <w:r>
              <w:rPr>
                <w:rFonts w:eastAsia="Calibri" w:cs="Arial"/>
                <w:sz w:val="24"/>
              </w:rPr>
              <w:t>Very h</w:t>
            </w:r>
            <w:r w:rsidRPr="007C2009">
              <w:rPr>
                <w:rFonts w:eastAsia="Calibri" w:cs="Arial"/>
                <w:sz w:val="24"/>
              </w:rPr>
              <w:t>igh</w:t>
            </w:r>
          </w:p>
        </w:tc>
        <w:tc>
          <w:tcPr>
            <w:tcW w:w="1724" w:type="dxa"/>
            <w:shd w:val="clear" w:color="auto" w:fill="auto"/>
          </w:tcPr>
          <w:p w14:paraId="6261D28F" w14:textId="77777777" w:rsidR="002D37D6" w:rsidRPr="007C2009" w:rsidRDefault="002D37D6">
            <w:pPr>
              <w:spacing w:before="120" w:after="120"/>
              <w:ind w:left="40"/>
              <w:rPr>
                <w:rFonts w:eastAsia="Calibri" w:cs="Arial"/>
                <w:b/>
                <w:sz w:val="24"/>
              </w:rPr>
            </w:pPr>
            <w:r>
              <w:rPr>
                <w:rFonts w:eastAsia="Calibri" w:cs="Arial"/>
                <w:b/>
                <w:sz w:val="24"/>
              </w:rPr>
              <w:t>2</w:t>
            </w:r>
          </w:p>
        </w:tc>
        <w:tc>
          <w:tcPr>
            <w:tcW w:w="1725" w:type="dxa"/>
            <w:shd w:val="clear" w:color="auto" w:fill="auto"/>
          </w:tcPr>
          <w:p w14:paraId="5DD7A86A" w14:textId="77777777" w:rsidR="002D37D6" w:rsidRPr="007C2009" w:rsidRDefault="002D37D6">
            <w:pPr>
              <w:spacing w:before="120" w:after="120"/>
              <w:ind w:left="40"/>
              <w:rPr>
                <w:rFonts w:eastAsia="Calibri" w:cs="Arial"/>
                <w:b/>
                <w:sz w:val="24"/>
              </w:rPr>
            </w:pPr>
            <w:r w:rsidRPr="007C2009">
              <w:rPr>
                <w:rFonts w:eastAsia="Calibri" w:cs="Arial"/>
                <w:b/>
                <w:sz w:val="24"/>
              </w:rPr>
              <w:t>2</w:t>
            </w:r>
          </w:p>
        </w:tc>
        <w:tc>
          <w:tcPr>
            <w:tcW w:w="1725" w:type="dxa"/>
            <w:shd w:val="clear" w:color="auto" w:fill="9A3668" w:themeFill="accent4"/>
          </w:tcPr>
          <w:p w14:paraId="3564DD00" w14:textId="77777777" w:rsidR="002D37D6" w:rsidRPr="007C2009" w:rsidRDefault="002D37D6">
            <w:pPr>
              <w:spacing w:before="120" w:after="120"/>
              <w:ind w:left="40"/>
              <w:rPr>
                <w:rFonts w:eastAsia="Calibri" w:cs="Arial"/>
                <w:b/>
                <w:sz w:val="24"/>
              </w:rPr>
            </w:pPr>
            <w:r w:rsidRPr="007C2009">
              <w:rPr>
                <w:rFonts w:eastAsia="Calibri" w:cs="Arial"/>
                <w:b/>
                <w:sz w:val="24"/>
              </w:rPr>
              <w:t xml:space="preserve"> </w:t>
            </w:r>
            <w:r>
              <w:rPr>
                <w:rFonts w:eastAsia="Calibri" w:cs="Arial"/>
                <w:b/>
                <w:sz w:val="24"/>
              </w:rPr>
              <w:t>4 –</w:t>
            </w:r>
            <w:r w:rsidRPr="007C2009">
              <w:rPr>
                <w:rFonts w:eastAsia="Calibri" w:cs="Arial"/>
                <w:b/>
                <w:sz w:val="24"/>
              </w:rPr>
              <w:t xml:space="preserve"> </w:t>
            </w:r>
            <w:r>
              <w:rPr>
                <w:rFonts w:eastAsia="Calibri" w:cs="Arial"/>
                <w:b/>
                <w:sz w:val="24"/>
              </w:rPr>
              <w:t>Low</w:t>
            </w:r>
          </w:p>
        </w:tc>
      </w:tr>
      <w:tr w:rsidR="009657C0" w:rsidRPr="007C2009" w14:paraId="56F2F27F" w14:textId="77777777">
        <w:tc>
          <w:tcPr>
            <w:tcW w:w="8623" w:type="dxa"/>
            <w:gridSpan w:val="5"/>
            <w:shd w:val="clear" w:color="auto" w:fill="auto"/>
            <w:hideMark/>
          </w:tcPr>
          <w:p w14:paraId="1ACD81C9" w14:textId="77777777" w:rsidR="002D37D6" w:rsidRPr="007C2009" w:rsidRDefault="002D37D6">
            <w:pPr>
              <w:spacing w:before="120" w:after="120"/>
              <w:ind w:left="40"/>
              <w:rPr>
                <w:rFonts w:eastAsia="Calibri" w:cs="Arial"/>
                <w:b/>
                <w:sz w:val="24"/>
              </w:rPr>
            </w:pPr>
            <w:r w:rsidRPr="007C2009">
              <w:rPr>
                <w:rFonts w:eastAsia="Calibri" w:cs="Arial"/>
                <w:b/>
                <w:sz w:val="24"/>
              </w:rPr>
              <w:t xml:space="preserve">Tolerance threshold: </w:t>
            </w:r>
          </w:p>
        </w:tc>
        <w:tc>
          <w:tcPr>
            <w:tcW w:w="1725" w:type="dxa"/>
            <w:shd w:val="clear" w:color="auto" w:fill="00B0F0"/>
          </w:tcPr>
          <w:p w14:paraId="58F8AC32" w14:textId="77777777" w:rsidR="002D37D6" w:rsidRPr="007C2009" w:rsidRDefault="002D37D6">
            <w:pPr>
              <w:spacing w:before="120" w:after="120"/>
              <w:ind w:left="40"/>
              <w:rPr>
                <w:rFonts w:eastAsia="Calibri" w:cs="Arial"/>
                <w:b/>
                <w:sz w:val="24"/>
              </w:rPr>
            </w:pPr>
            <w:r w:rsidRPr="007C2009">
              <w:rPr>
                <w:rFonts w:eastAsia="Calibri" w:cs="Arial"/>
                <w:b/>
                <w:sz w:val="24"/>
              </w:rPr>
              <w:t xml:space="preserve"> </w:t>
            </w:r>
            <w:r>
              <w:rPr>
                <w:rFonts w:eastAsia="Calibri" w:cs="Arial"/>
                <w:b/>
                <w:sz w:val="24"/>
              </w:rPr>
              <w:t>3</w:t>
            </w:r>
            <w:r w:rsidRPr="007C2009">
              <w:rPr>
                <w:rFonts w:eastAsia="Calibri" w:cs="Arial"/>
                <w:b/>
                <w:sz w:val="24"/>
              </w:rPr>
              <w:t xml:space="preserve"> </w:t>
            </w:r>
            <w:r>
              <w:rPr>
                <w:rFonts w:eastAsia="Calibri" w:cs="Arial"/>
                <w:b/>
                <w:sz w:val="24"/>
              </w:rPr>
              <w:t>–</w:t>
            </w:r>
            <w:r w:rsidRPr="007C2009">
              <w:rPr>
                <w:rFonts w:eastAsia="Calibri" w:cs="Arial"/>
                <w:b/>
                <w:sz w:val="24"/>
              </w:rPr>
              <w:t xml:space="preserve"> Low</w:t>
            </w:r>
          </w:p>
        </w:tc>
      </w:tr>
    </w:tbl>
    <w:p w14:paraId="64B31828" w14:textId="77777777" w:rsidR="002D37D6" w:rsidRDefault="002D37D6" w:rsidP="002D37D6">
      <w:pPr>
        <w:rPr>
          <w:rFonts w:eastAsia="Calibri"/>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008E90"/>
        </w:tblBorders>
        <w:tblLayout w:type="fixed"/>
        <w:tblCellMar>
          <w:left w:w="28" w:type="dxa"/>
          <w:right w:w="28" w:type="dxa"/>
        </w:tblCellMar>
        <w:tblLook w:val="04A0" w:firstRow="1" w:lastRow="0" w:firstColumn="1" w:lastColumn="0" w:noHBand="0" w:noVBand="1"/>
      </w:tblPr>
      <w:tblGrid>
        <w:gridCol w:w="10348"/>
      </w:tblGrid>
      <w:tr w:rsidR="00FE7291" w:rsidRPr="002F2A86" w14:paraId="723631B1" w14:textId="77777777">
        <w:trPr>
          <w:trHeight w:val="510"/>
        </w:trPr>
        <w:tc>
          <w:tcPr>
            <w:tcW w:w="10348" w:type="dxa"/>
          </w:tcPr>
          <w:p w14:paraId="45B2AA25" w14:textId="77777777" w:rsidR="002D37D6" w:rsidRPr="007C2009" w:rsidRDefault="002D37D6">
            <w:pPr>
              <w:spacing w:before="120" w:after="120" w:line="276" w:lineRule="auto"/>
              <w:ind w:left="112"/>
              <w:rPr>
                <w:rFonts w:eastAsia="Calibri" w:cs="Arial"/>
                <w:b/>
                <w:sz w:val="24"/>
              </w:rPr>
            </w:pPr>
            <w:r w:rsidRPr="007C2009">
              <w:rPr>
                <w:rFonts w:eastAsia="Calibri" w:cs="Arial"/>
                <w:b/>
                <w:sz w:val="24"/>
              </w:rPr>
              <w:t>Commentary</w:t>
            </w:r>
          </w:p>
        </w:tc>
      </w:tr>
      <w:tr w:rsidR="00FE7291" w:rsidRPr="002F2A86" w14:paraId="655892B0" w14:textId="77777777">
        <w:trPr>
          <w:trHeight w:val="2128"/>
        </w:trPr>
        <w:tc>
          <w:tcPr>
            <w:tcW w:w="10348" w:type="dxa"/>
          </w:tcPr>
          <w:p w14:paraId="241D54DB" w14:textId="77777777" w:rsidR="002D37D6" w:rsidRPr="007C2009" w:rsidRDefault="002D37D6" w:rsidP="00A8544C">
            <w:pPr>
              <w:spacing w:before="120" w:after="120" w:line="276" w:lineRule="auto"/>
              <w:ind w:left="111" w:right="114"/>
              <w:rPr>
                <w:rFonts w:eastAsia="Calibri" w:cs="Arial"/>
                <w:b/>
                <w:sz w:val="24"/>
              </w:rPr>
            </w:pPr>
            <w:r>
              <w:rPr>
                <w:rFonts w:eastAsia="Calibri" w:cs="Arial"/>
                <w:b/>
                <w:sz w:val="24"/>
              </w:rPr>
              <w:t>Above</w:t>
            </w:r>
            <w:r w:rsidRPr="007C2009">
              <w:rPr>
                <w:rFonts w:eastAsia="Calibri" w:cs="Arial"/>
                <w:b/>
                <w:sz w:val="24"/>
              </w:rPr>
              <w:t xml:space="preserve"> tolerance.</w:t>
            </w:r>
          </w:p>
          <w:p w14:paraId="144D0B49" w14:textId="7E4D7EF5" w:rsidR="002D37D6" w:rsidRDefault="002D37D6" w:rsidP="00A8544C">
            <w:pPr>
              <w:spacing w:line="276" w:lineRule="auto"/>
              <w:ind w:left="112"/>
              <w:rPr>
                <w:rFonts w:eastAsia="Calibri"/>
                <w:sz w:val="24"/>
              </w:rPr>
            </w:pPr>
            <w:r>
              <w:rPr>
                <w:rFonts w:eastAsia="Calibri"/>
                <w:sz w:val="24"/>
              </w:rPr>
              <w:t>Budgets for 2023/24 have been agreed and delegation letters to Directors issued. Our Grant in Aid (GIA) funding from the Department has initially been confirmed at previous levels and we have been provided with cover for asset purchases (Capital DEL - £30k) and depreciation and amortisation costs (Ring Fenced RDEL). Submissions have been made to Ministers regarding options to generate reductions in GIA delegations for 2023/24 and 2024/25 and we await the conclusion of that exercise. The position of the HTA is to make no reductions in the 2023/24 GIA.</w:t>
            </w:r>
          </w:p>
          <w:p w14:paraId="6AB6AC0F" w14:textId="4090C78D" w:rsidR="002D37D6" w:rsidRDefault="002D37D6" w:rsidP="00A8544C">
            <w:pPr>
              <w:spacing w:line="276" w:lineRule="auto"/>
              <w:ind w:left="112"/>
              <w:rPr>
                <w:rFonts w:eastAsia="Calibri"/>
                <w:sz w:val="24"/>
              </w:rPr>
            </w:pPr>
            <w:r>
              <w:rPr>
                <w:rFonts w:eastAsia="Calibri"/>
                <w:sz w:val="24"/>
              </w:rPr>
              <w:t>The budget for 2023/24 has absorbed a number of pressures, including additional costs related to the support of the Independent Inquiry, these were met by the DHSC last year. We have part funded a number of work programmes at the start of the year with the expectation that underspends will emerge though staff churn, and that licence fee income will again significantly overshoot our estimate. This will need to be carefully managed through the first and second quarters of the financial year and could require decisions to pause some programmes work before completion to ensure that the HTA does not exceed its spending controls.</w:t>
            </w:r>
          </w:p>
          <w:p w14:paraId="2C19D6DC" w14:textId="77777777" w:rsidR="002D37D6" w:rsidRDefault="002D37D6" w:rsidP="00A8544C">
            <w:pPr>
              <w:spacing w:line="276" w:lineRule="auto"/>
              <w:ind w:left="112"/>
              <w:rPr>
                <w:rFonts w:eastAsia="Calibri"/>
                <w:sz w:val="24"/>
              </w:rPr>
            </w:pPr>
            <w:r>
              <w:rPr>
                <w:rFonts w:eastAsia="Calibri"/>
                <w:sz w:val="24"/>
              </w:rPr>
              <w:t xml:space="preserve">The departure of the incumbent Director of Finance &amp; Resources will lead to additional workload pressures on the team for the remainder of the year – both in terms of the gap before the new Director starts and the onboarding process for the new incumbent.  </w:t>
            </w:r>
          </w:p>
          <w:p w14:paraId="76548B43" w14:textId="77777777" w:rsidR="002D37D6" w:rsidRDefault="002D37D6">
            <w:pPr>
              <w:spacing w:line="276" w:lineRule="auto"/>
              <w:rPr>
                <w:rFonts w:eastAsia="Calibri" w:cs="Arial"/>
                <w:sz w:val="24"/>
              </w:rPr>
            </w:pPr>
          </w:p>
          <w:p w14:paraId="246F8546" w14:textId="77777777" w:rsidR="002D37D6" w:rsidRPr="007C2009" w:rsidRDefault="002D37D6">
            <w:pPr>
              <w:spacing w:line="276" w:lineRule="auto"/>
              <w:ind w:left="112"/>
              <w:rPr>
                <w:rFonts w:eastAsia="Calibri" w:cs="Arial"/>
                <w:sz w:val="24"/>
              </w:rPr>
            </w:pPr>
          </w:p>
        </w:tc>
      </w:tr>
    </w:tbl>
    <w:p w14:paraId="120055FD" w14:textId="77777777" w:rsidR="002D37D6" w:rsidRDefault="002D37D6" w:rsidP="002D37D6">
      <w:pPr>
        <w:rPr>
          <w:rFonts w:eastAsia="Calibri"/>
          <w:b/>
        </w:rPr>
      </w:pPr>
    </w:p>
    <w:p w14:paraId="31EF7B8A" w14:textId="77777777" w:rsidR="002D37D6" w:rsidRDefault="002D37D6" w:rsidP="002D37D6">
      <w:pPr>
        <w:rPr>
          <w:rFonts w:eastAsia="Calibri"/>
          <w:b/>
        </w:rPr>
      </w:pPr>
    </w:p>
    <w:p w14:paraId="3CDD23D4" w14:textId="77F35B03" w:rsidR="002D37D6" w:rsidRPr="002F2A86" w:rsidRDefault="002D37D6" w:rsidP="002D37D6">
      <w:pPr>
        <w:pStyle w:val="Heading2"/>
        <w:rPr>
          <w:color w:val="auto"/>
        </w:rPr>
      </w:pPr>
      <w:bookmarkStart w:id="2" w:name="_Hlk103877979"/>
      <w:r>
        <w:rPr>
          <w:color w:val="auto"/>
        </w:rPr>
        <w:lastRenderedPageBreak/>
        <w:t>R6</w:t>
      </w:r>
      <w:r w:rsidRPr="002F2A86">
        <w:rPr>
          <w:color w:val="auto"/>
        </w:rPr>
        <w:t xml:space="preserve">: </w:t>
      </w:r>
      <w:r>
        <w:rPr>
          <w:color w:val="auto"/>
        </w:rPr>
        <w:t>Failure to take advantage of opportunities that allow the HTA to be an efficient regulator responsive to change and aware of the impact that it has on the sectors and activities that it regulates to ensure public trust and confidence is maintained</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4"/>
        <w:gridCol w:w="1725"/>
        <w:gridCol w:w="1725"/>
        <w:gridCol w:w="1724"/>
        <w:gridCol w:w="1725"/>
        <w:gridCol w:w="1725"/>
      </w:tblGrid>
      <w:tr w:rsidR="00FE7291" w:rsidRPr="002F2A86" w14:paraId="6B414A0B" w14:textId="77777777">
        <w:tc>
          <w:tcPr>
            <w:tcW w:w="5174" w:type="dxa"/>
            <w:gridSpan w:val="3"/>
            <w:shd w:val="clear" w:color="auto" w:fill="auto"/>
            <w:hideMark/>
          </w:tcPr>
          <w:p w14:paraId="0AB45A81" w14:textId="77777777" w:rsidR="002D37D6" w:rsidRPr="00D17FED" w:rsidRDefault="002D37D6">
            <w:pPr>
              <w:spacing w:before="120" w:after="120"/>
              <w:ind w:left="41"/>
              <w:rPr>
                <w:rFonts w:eastAsia="Calibri" w:cs="Arial"/>
                <w:b/>
                <w:sz w:val="24"/>
              </w:rPr>
            </w:pPr>
            <w:r w:rsidRPr="00D17FED">
              <w:rPr>
                <w:rFonts w:eastAsia="Calibri" w:cs="Arial"/>
                <w:b/>
                <w:sz w:val="24"/>
              </w:rPr>
              <w:t>Inherent risk level:</w:t>
            </w:r>
          </w:p>
        </w:tc>
        <w:tc>
          <w:tcPr>
            <w:tcW w:w="5174" w:type="dxa"/>
            <w:gridSpan w:val="3"/>
            <w:shd w:val="clear" w:color="auto" w:fill="auto"/>
          </w:tcPr>
          <w:p w14:paraId="4400BC36" w14:textId="77777777" w:rsidR="002D37D6" w:rsidRPr="00D17FED" w:rsidRDefault="002D37D6">
            <w:pPr>
              <w:spacing w:before="120" w:after="120"/>
              <w:ind w:left="41"/>
              <w:rPr>
                <w:rFonts w:eastAsia="Calibri" w:cs="Arial"/>
                <w:b/>
                <w:sz w:val="24"/>
              </w:rPr>
            </w:pPr>
            <w:r w:rsidRPr="00D17FED">
              <w:rPr>
                <w:rFonts w:eastAsia="Calibri" w:cs="Arial"/>
                <w:b/>
                <w:sz w:val="24"/>
              </w:rPr>
              <w:t>Residual risk level:</w:t>
            </w:r>
          </w:p>
        </w:tc>
      </w:tr>
      <w:tr w:rsidR="009657C0" w:rsidRPr="002F2A86" w14:paraId="12D753E7" w14:textId="77777777">
        <w:tc>
          <w:tcPr>
            <w:tcW w:w="1724" w:type="dxa"/>
            <w:shd w:val="clear" w:color="auto" w:fill="E5F0FF"/>
            <w:hideMark/>
          </w:tcPr>
          <w:p w14:paraId="42C26D73" w14:textId="77777777" w:rsidR="002D37D6" w:rsidRPr="00D17FED" w:rsidRDefault="002D37D6">
            <w:pPr>
              <w:spacing w:before="120" w:after="120"/>
              <w:ind w:left="40"/>
              <w:rPr>
                <w:rFonts w:eastAsia="Calibri" w:cs="Arial"/>
                <w:sz w:val="24"/>
              </w:rPr>
            </w:pPr>
            <w:r w:rsidRPr="00D17FED">
              <w:rPr>
                <w:rFonts w:eastAsia="Calibri" w:cs="Arial"/>
                <w:sz w:val="24"/>
              </w:rPr>
              <w:t xml:space="preserve">Likelihood </w:t>
            </w:r>
          </w:p>
        </w:tc>
        <w:tc>
          <w:tcPr>
            <w:tcW w:w="1725" w:type="dxa"/>
            <w:shd w:val="clear" w:color="auto" w:fill="E5F0FF"/>
            <w:hideMark/>
          </w:tcPr>
          <w:p w14:paraId="37EDAC85" w14:textId="77777777" w:rsidR="002D37D6" w:rsidRPr="00D17FED" w:rsidRDefault="002D37D6">
            <w:pPr>
              <w:spacing w:before="120" w:after="120"/>
              <w:ind w:left="40"/>
              <w:rPr>
                <w:rFonts w:eastAsia="Calibri" w:cs="Arial"/>
                <w:sz w:val="24"/>
              </w:rPr>
            </w:pPr>
            <w:r w:rsidRPr="00D17FED">
              <w:rPr>
                <w:rFonts w:eastAsia="Calibri" w:cs="Arial"/>
                <w:sz w:val="24"/>
              </w:rPr>
              <w:t xml:space="preserve">Impact </w:t>
            </w:r>
          </w:p>
        </w:tc>
        <w:tc>
          <w:tcPr>
            <w:tcW w:w="1725" w:type="dxa"/>
            <w:shd w:val="clear" w:color="auto" w:fill="E5F0FF"/>
            <w:hideMark/>
          </w:tcPr>
          <w:p w14:paraId="340038B1" w14:textId="77777777" w:rsidR="002D37D6" w:rsidRPr="00D17FED" w:rsidRDefault="002D37D6">
            <w:pPr>
              <w:spacing w:before="120" w:after="120"/>
              <w:ind w:left="40"/>
              <w:rPr>
                <w:rFonts w:eastAsia="Calibri" w:cs="Arial"/>
                <w:sz w:val="24"/>
              </w:rPr>
            </w:pPr>
            <w:r w:rsidRPr="00D17FED">
              <w:rPr>
                <w:rFonts w:eastAsia="Calibri" w:cs="Arial"/>
                <w:sz w:val="24"/>
              </w:rPr>
              <w:t>Inherent risk</w:t>
            </w:r>
          </w:p>
        </w:tc>
        <w:tc>
          <w:tcPr>
            <w:tcW w:w="1724" w:type="dxa"/>
            <w:shd w:val="clear" w:color="auto" w:fill="E5F0FF"/>
          </w:tcPr>
          <w:p w14:paraId="078BB7FE" w14:textId="77777777" w:rsidR="002D37D6" w:rsidRPr="00D17FED" w:rsidRDefault="002D37D6">
            <w:pPr>
              <w:spacing w:before="120" w:after="120"/>
              <w:ind w:left="40"/>
              <w:rPr>
                <w:rFonts w:eastAsia="Calibri" w:cs="Arial"/>
                <w:sz w:val="24"/>
              </w:rPr>
            </w:pPr>
            <w:r w:rsidRPr="00D17FED">
              <w:rPr>
                <w:rFonts w:eastAsia="Calibri" w:cs="Arial"/>
                <w:b/>
                <w:sz w:val="24"/>
              </w:rPr>
              <w:t>Likelihood</w:t>
            </w:r>
          </w:p>
        </w:tc>
        <w:tc>
          <w:tcPr>
            <w:tcW w:w="1725" w:type="dxa"/>
            <w:shd w:val="clear" w:color="auto" w:fill="E5F0FF"/>
          </w:tcPr>
          <w:p w14:paraId="161E4F03" w14:textId="77777777" w:rsidR="002D37D6" w:rsidRPr="00D17FED" w:rsidRDefault="002D37D6">
            <w:pPr>
              <w:spacing w:before="120" w:after="120"/>
              <w:ind w:left="40"/>
              <w:rPr>
                <w:rFonts w:eastAsia="Calibri" w:cs="Arial"/>
                <w:b/>
                <w:sz w:val="24"/>
              </w:rPr>
            </w:pPr>
            <w:r w:rsidRPr="00D17FED">
              <w:rPr>
                <w:rFonts w:eastAsia="Calibri" w:cs="Arial"/>
                <w:b/>
                <w:sz w:val="24"/>
              </w:rPr>
              <w:t>Impact</w:t>
            </w:r>
          </w:p>
        </w:tc>
        <w:tc>
          <w:tcPr>
            <w:tcW w:w="1725" w:type="dxa"/>
            <w:shd w:val="clear" w:color="auto" w:fill="E5F0FF"/>
          </w:tcPr>
          <w:p w14:paraId="23C9E15C" w14:textId="77777777" w:rsidR="002D37D6" w:rsidRPr="00D17FED" w:rsidRDefault="002D37D6">
            <w:pPr>
              <w:spacing w:before="120" w:after="120"/>
              <w:ind w:left="40"/>
              <w:rPr>
                <w:rFonts w:eastAsia="Calibri" w:cs="Arial"/>
                <w:b/>
                <w:sz w:val="24"/>
              </w:rPr>
            </w:pPr>
            <w:r w:rsidRPr="00D17FED">
              <w:rPr>
                <w:rFonts w:eastAsia="Calibri" w:cs="Arial"/>
                <w:b/>
                <w:sz w:val="24"/>
              </w:rPr>
              <w:t>Residual risk</w:t>
            </w:r>
          </w:p>
        </w:tc>
      </w:tr>
      <w:tr w:rsidR="009657C0" w:rsidRPr="002F2A86" w14:paraId="57B54B97" w14:textId="77777777">
        <w:tc>
          <w:tcPr>
            <w:tcW w:w="1724" w:type="dxa"/>
          </w:tcPr>
          <w:p w14:paraId="69BA7159" w14:textId="77777777" w:rsidR="002D37D6" w:rsidRPr="00D17FED" w:rsidRDefault="002D37D6">
            <w:pPr>
              <w:spacing w:before="120" w:after="120"/>
              <w:ind w:left="40"/>
              <w:rPr>
                <w:rFonts w:eastAsia="Calibri" w:cs="Arial"/>
                <w:sz w:val="24"/>
              </w:rPr>
            </w:pPr>
            <w:r>
              <w:rPr>
                <w:rFonts w:eastAsia="Calibri" w:cs="Arial"/>
                <w:sz w:val="24"/>
              </w:rPr>
              <w:t>4</w:t>
            </w:r>
          </w:p>
        </w:tc>
        <w:tc>
          <w:tcPr>
            <w:tcW w:w="1725" w:type="dxa"/>
          </w:tcPr>
          <w:p w14:paraId="309B5885" w14:textId="77777777" w:rsidR="002D37D6" w:rsidRPr="00D17FED" w:rsidRDefault="002D37D6">
            <w:pPr>
              <w:spacing w:before="120" w:after="120"/>
              <w:ind w:left="40"/>
              <w:rPr>
                <w:rFonts w:eastAsia="Calibri" w:cs="Arial"/>
                <w:sz w:val="24"/>
              </w:rPr>
            </w:pPr>
            <w:r>
              <w:rPr>
                <w:rFonts w:eastAsia="Calibri" w:cs="Arial"/>
                <w:sz w:val="24"/>
              </w:rPr>
              <w:t>3</w:t>
            </w:r>
          </w:p>
        </w:tc>
        <w:tc>
          <w:tcPr>
            <w:tcW w:w="1725" w:type="dxa"/>
            <w:shd w:val="clear" w:color="auto" w:fill="FFC000"/>
          </w:tcPr>
          <w:p w14:paraId="529FC374" w14:textId="77777777" w:rsidR="002D37D6" w:rsidRPr="003A21CF" w:rsidRDefault="002D37D6">
            <w:pPr>
              <w:spacing w:before="120" w:after="120"/>
              <w:ind w:left="40"/>
              <w:rPr>
                <w:rFonts w:eastAsia="Calibri" w:cs="Arial"/>
                <w:sz w:val="24"/>
              </w:rPr>
            </w:pPr>
            <w:r w:rsidRPr="003A21CF">
              <w:rPr>
                <w:rFonts w:eastAsia="Calibri" w:cs="Arial"/>
                <w:sz w:val="24"/>
              </w:rPr>
              <w:t>12 - High</w:t>
            </w:r>
          </w:p>
        </w:tc>
        <w:tc>
          <w:tcPr>
            <w:tcW w:w="1724" w:type="dxa"/>
            <w:shd w:val="clear" w:color="auto" w:fill="auto"/>
          </w:tcPr>
          <w:p w14:paraId="561A0A83" w14:textId="77777777" w:rsidR="002D37D6" w:rsidRPr="00D17FED" w:rsidRDefault="002D37D6">
            <w:pPr>
              <w:spacing w:before="120" w:after="120"/>
              <w:ind w:left="40"/>
              <w:rPr>
                <w:rFonts w:eastAsia="Calibri" w:cs="Arial"/>
                <w:b/>
                <w:sz w:val="24"/>
              </w:rPr>
            </w:pPr>
            <w:r w:rsidRPr="00D17FED">
              <w:rPr>
                <w:rFonts w:eastAsia="Calibri" w:cs="Arial"/>
                <w:b/>
                <w:sz w:val="24"/>
              </w:rPr>
              <w:t>3</w:t>
            </w:r>
          </w:p>
        </w:tc>
        <w:tc>
          <w:tcPr>
            <w:tcW w:w="1725" w:type="dxa"/>
            <w:shd w:val="clear" w:color="auto" w:fill="auto"/>
          </w:tcPr>
          <w:p w14:paraId="40122778" w14:textId="77777777" w:rsidR="002D37D6" w:rsidRPr="00D17FED" w:rsidRDefault="002D37D6">
            <w:pPr>
              <w:spacing w:before="120" w:after="120"/>
              <w:ind w:left="40"/>
              <w:rPr>
                <w:rFonts w:eastAsia="Calibri" w:cs="Arial"/>
                <w:b/>
                <w:sz w:val="24"/>
              </w:rPr>
            </w:pPr>
            <w:r>
              <w:rPr>
                <w:rFonts w:eastAsia="Calibri" w:cs="Arial"/>
                <w:b/>
                <w:bCs/>
                <w:sz w:val="24"/>
              </w:rPr>
              <w:t>3</w:t>
            </w:r>
          </w:p>
        </w:tc>
        <w:tc>
          <w:tcPr>
            <w:tcW w:w="1725" w:type="dxa"/>
            <w:shd w:val="clear" w:color="auto" w:fill="FFFF00"/>
          </w:tcPr>
          <w:p w14:paraId="1381054E" w14:textId="77777777" w:rsidR="002D37D6" w:rsidRPr="00D17FED" w:rsidRDefault="002D37D6">
            <w:pPr>
              <w:spacing w:before="120" w:after="120"/>
              <w:ind w:left="40"/>
              <w:rPr>
                <w:rFonts w:eastAsia="Calibri" w:cs="Arial"/>
                <w:b/>
                <w:sz w:val="24"/>
              </w:rPr>
            </w:pPr>
            <w:r>
              <w:rPr>
                <w:rFonts w:eastAsia="Calibri" w:cs="Arial"/>
                <w:b/>
                <w:bCs/>
                <w:sz w:val="24"/>
              </w:rPr>
              <w:t xml:space="preserve">9 </w:t>
            </w:r>
            <w:r>
              <w:rPr>
                <w:rFonts w:eastAsia="Calibri" w:cs="Arial"/>
                <w:b/>
                <w:sz w:val="24"/>
              </w:rPr>
              <w:t>–</w:t>
            </w:r>
            <w:r w:rsidRPr="00D17FED">
              <w:rPr>
                <w:rFonts w:eastAsia="Calibri" w:cs="Arial"/>
                <w:b/>
                <w:sz w:val="24"/>
              </w:rPr>
              <w:t xml:space="preserve"> </w:t>
            </w:r>
            <w:r>
              <w:rPr>
                <w:rFonts w:eastAsia="Calibri" w:cs="Arial"/>
                <w:b/>
                <w:sz w:val="24"/>
              </w:rPr>
              <w:t>High</w:t>
            </w:r>
          </w:p>
        </w:tc>
      </w:tr>
      <w:tr w:rsidR="009657C0" w:rsidRPr="002F2A86" w14:paraId="5009014E" w14:textId="77777777">
        <w:tc>
          <w:tcPr>
            <w:tcW w:w="8623" w:type="dxa"/>
            <w:gridSpan w:val="5"/>
            <w:shd w:val="clear" w:color="auto" w:fill="auto"/>
            <w:hideMark/>
          </w:tcPr>
          <w:p w14:paraId="6121B9EB" w14:textId="77777777" w:rsidR="002D37D6" w:rsidRPr="00D17FED" w:rsidRDefault="002D37D6">
            <w:pPr>
              <w:spacing w:before="120" w:after="120"/>
              <w:ind w:left="40"/>
              <w:rPr>
                <w:rFonts w:eastAsia="Calibri" w:cs="Arial"/>
                <w:b/>
                <w:sz w:val="24"/>
              </w:rPr>
            </w:pPr>
            <w:r w:rsidRPr="00D17FED">
              <w:rPr>
                <w:rFonts w:eastAsia="Calibri" w:cs="Arial"/>
                <w:b/>
                <w:sz w:val="24"/>
              </w:rPr>
              <w:t xml:space="preserve">Tolerance threshold: </w:t>
            </w:r>
          </w:p>
        </w:tc>
        <w:tc>
          <w:tcPr>
            <w:tcW w:w="1725" w:type="dxa"/>
            <w:shd w:val="clear" w:color="auto" w:fill="FFFF00"/>
          </w:tcPr>
          <w:p w14:paraId="65E652F2" w14:textId="77777777" w:rsidR="002D37D6" w:rsidRPr="00D17FED" w:rsidRDefault="002D37D6">
            <w:pPr>
              <w:spacing w:before="120" w:after="120"/>
              <w:ind w:left="40"/>
              <w:rPr>
                <w:rFonts w:eastAsia="Calibri" w:cs="Arial"/>
                <w:b/>
                <w:sz w:val="24"/>
              </w:rPr>
            </w:pPr>
            <w:r>
              <w:rPr>
                <w:rFonts w:eastAsia="Calibri" w:cs="Arial"/>
                <w:b/>
                <w:sz w:val="24"/>
              </w:rPr>
              <w:t>9</w:t>
            </w:r>
            <w:r w:rsidRPr="00D17FED">
              <w:rPr>
                <w:rFonts w:eastAsia="Calibri" w:cs="Arial"/>
                <w:b/>
                <w:sz w:val="24"/>
              </w:rPr>
              <w:t xml:space="preserve"> </w:t>
            </w:r>
            <w:r>
              <w:rPr>
                <w:rFonts w:eastAsia="Calibri" w:cs="Arial"/>
                <w:b/>
                <w:sz w:val="24"/>
              </w:rPr>
              <w:t>–</w:t>
            </w:r>
            <w:r w:rsidRPr="00D17FED">
              <w:rPr>
                <w:rFonts w:eastAsia="Calibri" w:cs="Arial"/>
                <w:b/>
                <w:sz w:val="24"/>
              </w:rPr>
              <w:t xml:space="preserve"> Medium</w:t>
            </w:r>
          </w:p>
        </w:tc>
      </w:tr>
    </w:tbl>
    <w:p w14:paraId="51B60D20" w14:textId="77777777" w:rsidR="002D37D6" w:rsidRDefault="002D37D6" w:rsidP="002D37D6">
      <w:pPr>
        <w:rPr>
          <w:rFonts w:eastAsia="Calibri"/>
          <w:b/>
        </w:rPr>
      </w:pPr>
    </w:p>
    <w:tbl>
      <w:tblPr>
        <w:tblW w:w="10348"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8E90"/>
        </w:tblBorders>
        <w:tblLayout w:type="fixed"/>
        <w:tblCellMar>
          <w:left w:w="28" w:type="dxa"/>
          <w:right w:w="28" w:type="dxa"/>
        </w:tblCellMar>
        <w:tblLook w:val="04A0" w:firstRow="1" w:lastRow="0" w:firstColumn="1" w:lastColumn="0" w:noHBand="0" w:noVBand="1"/>
      </w:tblPr>
      <w:tblGrid>
        <w:gridCol w:w="10348"/>
      </w:tblGrid>
      <w:tr w:rsidR="00FE7291" w:rsidRPr="002F2A86" w14:paraId="51B70B17" w14:textId="77777777">
        <w:trPr>
          <w:trHeight w:val="510"/>
        </w:trPr>
        <w:tc>
          <w:tcPr>
            <w:tcW w:w="10348" w:type="dxa"/>
          </w:tcPr>
          <w:p w14:paraId="50225F83" w14:textId="77777777" w:rsidR="002D37D6" w:rsidRPr="00D17FED" w:rsidRDefault="002D37D6">
            <w:pPr>
              <w:spacing w:before="120" w:after="120" w:line="276" w:lineRule="auto"/>
              <w:ind w:left="112"/>
              <w:rPr>
                <w:rFonts w:eastAsia="Calibri" w:cs="Arial"/>
                <w:b/>
                <w:sz w:val="24"/>
              </w:rPr>
            </w:pPr>
            <w:r w:rsidRPr="00D17FED">
              <w:rPr>
                <w:rFonts w:eastAsia="Calibri" w:cs="Arial"/>
                <w:b/>
                <w:sz w:val="24"/>
              </w:rPr>
              <w:t>Commentary</w:t>
            </w:r>
          </w:p>
        </w:tc>
      </w:tr>
      <w:tr w:rsidR="00FE7291" w:rsidRPr="002F2A86" w14:paraId="529EA91A" w14:textId="77777777">
        <w:trPr>
          <w:trHeight w:val="2128"/>
        </w:trPr>
        <w:tc>
          <w:tcPr>
            <w:tcW w:w="10348" w:type="dxa"/>
          </w:tcPr>
          <w:p w14:paraId="76315DC6" w14:textId="77777777" w:rsidR="002D37D6" w:rsidRPr="00D17FED" w:rsidRDefault="002D37D6">
            <w:pPr>
              <w:spacing w:before="120" w:after="120" w:line="276" w:lineRule="auto"/>
              <w:ind w:left="111" w:right="114"/>
              <w:rPr>
                <w:rFonts w:eastAsia="Calibri" w:cs="Arial"/>
                <w:b/>
                <w:sz w:val="24"/>
              </w:rPr>
            </w:pPr>
            <w:r w:rsidRPr="00D17FED">
              <w:rPr>
                <w:rFonts w:eastAsia="Calibri" w:cs="Arial"/>
                <w:b/>
                <w:sz w:val="24"/>
              </w:rPr>
              <w:t>A</w:t>
            </w:r>
            <w:r>
              <w:rPr>
                <w:rFonts w:eastAsia="Calibri" w:cs="Arial"/>
                <w:b/>
                <w:sz w:val="24"/>
              </w:rPr>
              <w:t>t</w:t>
            </w:r>
            <w:r w:rsidRPr="00D17FED">
              <w:rPr>
                <w:rFonts w:eastAsia="Calibri" w:cs="Arial"/>
                <w:b/>
                <w:sz w:val="24"/>
              </w:rPr>
              <w:t xml:space="preserve"> tolerance.</w:t>
            </w:r>
          </w:p>
          <w:p w14:paraId="5EE76EC3" w14:textId="675ACD68" w:rsidR="002D37D6" w:rsidRDefault="002D37D6">
            <w:pPr>
              <w:spacing w:line="276" w:lineRule="auto"/>
              <w:ind w:left="112"/>
              <w:rPr>
                <w:rFonts w:eastAsia="Calibri" w:cs="Arial"/>
                <w:sz w:val="24"/>
              </w:rPr>
            </w:pPr>
            <w:r>
              <w:rPr>
                <w:rFonts w:eastAsia="Calibri" w:cs="Arial"/>
                <w:sz w:val="24"/>
              </w:rPr>
              <w:t xml:space="preserve">This risk has been updated and redefined for 2023/24 to reflect a central priority supporting efficiency and reform. As with risk 3 the HTA has progressed and delivered a number of projects in the post pandemic period reflecting changes in the way that it works and to ensure it remains responsive to opportunities for working differently. The 2023/24 Business Plan includes a number of projects that will </w:t>
            </w:r>
            <w:r w:rsidR="00CF0F98">
              <w:rPr>
                <w:rFonts w:eastAsia="Calibri" w:cs="Arial"/>
                <w:sz w:val="24"/>
              </w:rPr>
              <w:t xml:space="preserve">impact </w:t>
            </w:r>
            <w:r>
              <w:rPr>
                <w:rFonts w:eastAsia="Calibri" w:cs="Arial"/>
                <w:sz w:val="24"/>
              </w:rPr>
              <w:t>this direction of travel. Activities under risk 3 and this risk 6 coalesce to support the HTA’s vision and mission.</w:t>
            </w:r>
          </w:p>
          <w:p w14:paraId="2C0C359B" w14:textId="0F5911CE" w:rsidR="002D37D6" w:rsidRDefault="002D37D6">
            <w:pPr>
              <w:spacing w:line="276" w:lineRule="auto"/>
              <w:ind w:left="112"/>
              <w:rPr>
                <w:rFonts w:eastAsia="Calibri" w:cs="Arial"/>
                <w:sz w:val="24"/>
              </w:rPr>
            </w:pPr>
            <w:r>
              <w:rPr>
                <w:rFonts w:eastAsia="Calibri" w:cs="Arial"/>
                <w:sz w:val="24"/>
              </w:rPr>
              <w:t>It is anticipated that updates on the risk will reflect the progress of identified projects and align with updates and actions identified across other risks specifically risks 3, 4, 5 &amp; 7. This alignment is critical as in previous years the availability of resources (people and financial) have been significant factors in setting the pace and appetite for change.  A further consideration and alignment opportunity for the HTA will be with the myriad of central initiatives and programmes that see to take advantage of economies of scale and consolidation of improvement opportunities and skills.</w:t>
            </w:r>
          </w:p>
          <w:p w14:paraId="73E27B3C" w14:textId="77777777" w:rsidR="002D37D6" w:rsidRPr="00D17FED" w:rsidRDefault="002D37D6">
            <w:pPr>
              <w:spacing w:line="276" w:lineRule="auto"/>
              <w:ind w:left="112"/>
              <w:rPr>
                <w:rFonts w:eastAsia="Calibri" w:cs="Arial"/>
                <w:sz w:val="24"/>
              </w:rPr>
            </w:pPr>
          </w:p>
        </w:tc>
      </w:tr>
      <w:bookmarkEnd w:id="2"/>
    </w:tbl>
    <w:p w14:paraId="2BCA3179" w14:textId="77777777" w:rsidR="002D37D6" w:rsidRDefault="002D37D6" w:rsidP="002D37D6">
      <w:pPr>
        <w:rPr>
          <w:rFonts w:eastAsia="Calibri"/>
          <w:b/>
        </w:rPr>
      </w:pPr>
    </w:p>
    <w:p w14:paraId="06D8BF6F" w14:textId="77777777" w:rsidR="002D37D6" w:rsidRDefault="002D37D6" w:rsidP="002D37D6">
      <w:pPr>
        <w:rPr>
          <w:rFonts w:eastAsia="Calibri"/>
          <w:b/>
        </w:rPr>
      </w:pPr>
    </w:p>
    <w:p w14:paraId="4434BBF2" w14:textId="77777777" w:rsidR="002D37D6" w:rsidRDefault="002D37D6" w:rsidP="002D37D6">
      <w:pPr>
        <w:rPr>
          <w:rFonts w:eastAsia="Calibri"/>
          <w:b/>
        </w:rPr>
      </w:pPr>
    </w:p>
    <w:p w14:paraId="361B1CB7" w14:textId="77777777" w:rsidR="002D37D6" w:rsidRDefault="002D37D6" w:rsidP="002D37D6">
      <w:pPr>
        <w:rPr>
          <w:rFonts w:eastAsia="Calibri"/>
          <w:b/>
          <w:bCs/>
          <w:color w:val="7030A0"/>
          <w:sz w:val="28"/>
          <w:szCs w:val="32"/>
        </w:rPr>
      </w:pPr>
    </w:p>
    <w:p w14:paraId="280B7580" w14:textId="77777777" w:rsidR="00FC11A4" w:rsidRDefault="00FC11A4">
      <w:pPr>
        <w:rPr>
          <w:rFonts w:ascii="Arial" w:eastAsia="Calibri" w:hAnsi="Arial" w:cstheme="majorBidi"/>
          <w:b/>
          <w:sz w:val="24"/>
          <w:szCs w:val="26"/>
        </w:rPr>
      </w:pPr>
      <w:r>
        <w:br w:type="page"/>
      </w:r>
    </w:p>
    <w:p w14:paraId="6227C74E" w14:textId="77777777" w:rsidR="002D37D6" w:rsidRPr="002F2A86" w:rsidRDefault="002D37D6" w:rsidP="002D37D6">
      <w:pPr>
        <w:pStyle w:val="Heading2"/>
        <w:rPr>
          <w:color w:val="auto"/>
        </w:rPr>
      </w:pPr>
      <w:r>
        <w:rPr>
          <w:color w:val="auto"/>
        </w:rPr>
        <w:lastRenderedPageBreak/>
        <w:t>R7</w:t>
      </w:r>
      <w:r w:rsidRPr="002F2A86">
        <w:rPr>
          <w:color w:val="auto"/>
        </w:rPr>
        <w:t xml:space="preserve">: </w:t>
      </w:r>
      <w:r>
        <w:rPr>
          <w:color w:val="auto"/>
        </w:rPr>
        <w:t>Failure to optimise the safe use of existing and emerging digital data and technology</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4"/>
        <w:gridCol w:w="1725"/>
        <w:gridCol w:w="1725"/>
        <w:gridCol w:w="1724"/>
        <w:gridCol w:w="1725"/>
        <w:gridCol w:w="1725"/>
      </w:tblGrid>
      <w:tr w:rsidR="00FE7291" w:rsidRPr="002F2A86" w14:paraId="2FFB3FCD" w14:textId="77777777">
        <w:tc>
          <w:tcPr>
            <w:tcW w:w="5174" w:type="dxa"/>
            <w:gridSpan w:val="3"/>
            <w:shd w:val="clear" w:color="auto" w:fill="auto"/>
            <w:hideMark/>
          </w:tcPr>
          <w:p w14:paraId="2B15D6D3" w14:textId="77777777" w:rsidR="002D37D6" w:rsidRPr="00D17FED" w:rsidRDefault="002D37D6">
            <w:pPr>
              <w:spacing w:before="120" w:after="120"/>
              <w:ind w:left="41"/>
              <w:rPr>
                <w:rFonts w:eastAsia="Calibri" w:cs="Arial"/>
                <w:b/>
                <w:sz w:val="24"/>
              </w:rPr>
            </w:pPr>
            <w:r w:rsidRPr="00D17FED">
              <w:rPr>
                <w:rFonts w:eastAsia="Calibri" w:cs="Arial"/>
                <w:b/>
                <w:sz w:val="24"/>
              </w:rPr>
              <w:t>Inherent risk level:</w:t>
            </w:r>
          </w:p>
        </w:tc>
        <w:tc>
          <w:tcPr>
            <w:tcW w:w="5174" w:type="dxa"/>
            <w:gridSpan w:val="3"/>
            <w:shd w:val="clear" w:color="auto" w:fill="auto"/>
          </w:tcPr>
          <w:p w14:paraId="7FDF2E2C" w14:textId="77777777" w:rsidR="002D37D6" w:rsidRPr="00D17FED" w:rsidRDefault="002D37D6">
            <w:pPr>
              <w:spacing w:before="120" w:after="120"/>
              <w:ind w:left="41"/>
              <w:rPr>
                <w:rFonts w:eastAsia="Calibri" w:cs="Arial"/>
                <w:b/>
                <w:sz w:val="24"/>
              </w:rPr>
            </w:pPr>
            <w:r w:rsidRPr="00D17FED">
              <w:rPr>
                <w:rFonts w:eastAsia="Calibri" w:cs="Arial"/>
                <w:b/>
                <w:sz w:val="24"/>
              </w:rPr>
              <w:t>Residual risk level:</w:t>
            </w:r>
          </w:p>
        </w:tc>
      </w:tr>
      <w:tr w:rsidR="009657C0" w:rsidRPr="002F2A86" w14:paraId="4E017643" w14:textId="77777777">
        <w:tc>
          <w:tcPr>
            <w:tcW w:w="1724" w:type="dxa"/>
            <w:shd w:val="clear" w:color="auto" w:fill="E5F0FF"/>
            <w:hideMark/>
          </w:tcPr>
          <w:p w14:paraId="54CB7204" w14:textId="77777777" w:rsidR="002D37D6" w:rsidRPr="00D17FED" w:rsidRDefault="002D37D6">
            <w:pPr>
              <w:spacing w:before="120" w:after="120"/>
              <w:ind w:left="40"/>
              <w:rPr>
                <w:rFonts w:eastAsia="Calibri" w:cs="Arial"/>
                <w:sz w:val="24"/>
              </w:rPr>
            </w:pPr>
            <w:r w:rsidRPr="00D17FED">
              <w:rPr>
                <w:rFonts w:eastAsia="Calibri" w:cs="Arial"/>
                <w:sz w:val="24"/>
              </w:rPr>
              <w:t xml:space="preserve">Likelihood </w:t>
            </w:r>
          </w:p>
        </w:tc>
        <w:tc>
          <w:tcPr>
            <w:tcW w:w="1725" w:type="dxa"/>
            <w:shd w:val="clear" w:color="auto" w:fill="E5F0FF"/>
            <w:hideMark/>
          </w:tcPr>
          <w:p w14:paraId="1BE1D56D" w14:textId="77777777" w:rsidR="002D37D6" w:rsidRPr="00D17FED" w:rsidRDefault="002D37D6">
            <w:pPr>
              <w:spacing w:before="120" w:after="120"/>
              <w:ind w:left="40"/>
              <w:rPr>
                <w:rFonts w:eastAsia="Calibri" w:cs="Arial"/>
                <w:sz w:val="24"/>
              </w:rPr>
            </w:pPr>
            <w:r w:rsidRPr="00D17FED">
              <w:rPr>
                <w:rFonts w:eastAsia="Calibri" w:cs="Arial"/>
                <w:sz w:val="24"/>
              </w:rPr>
              <w:t xml:space="preserve">Impact </w:t>
            </w:r>
          </w:p>
        </w:tc>
        <w:tc>
          <w:tcPr>
            <w:tcW w:w="1725" w:type="dxa"/>
            <w:shd w:val="clear" w:color="auto" w:fill="E5F0FF"/>
            <w:hideMark/>
          </w:tcPr>
          <w:p w14:paraId="41C5857F" w14:textId="77777777" w:rsidR="002D37D6" w:rsidRPr="00D17FED" w:rsidRDefault="002D37D6">
            <w:pPr>
              <w:spacing w:before="120" w:after="120"/>
              <w:ind w:left="40"/>
              <w:rPr>
                <w:rFonts w:eastAsia="Calibri" w:cs="Arial"/>
                <w:sz w:val="24"/>
              </w:rPr>
            </w:pPr>
            <w:r w:rsidRPr="00D17FED">
              <w:rPr>
                <w:rFonts w:eastAsia="Calibri" w:cs="Arial"/>
                <w:sz w:val="24"/>
              </w:rPr>
              <w:t>Inherent risk</w:t>
            </w:r>
          </w:p>
        </w:tc>
        <w:tc>
          <w:tcPr>
            <w:tcW w:w="1724" w:type="dxa"/>
            <w:shd w:val="clear" w:color="auto" w:fill="E5F0FF"/>
          </w:tcPr>
          <w:p w14:paraId="519F3D3D" w14:textId="77777777" w:rsidR="002D37D6" w:rsidRPr="00D17FED" w:rsidRDefault="002D37D6">
            <w:pPr>
              <w:spacing w:before="120" w:after="120"/>
              <w:ind w:left="40"/>
              <w:rPr>
                <w:rFonts w:eastAsia="Calibri" w:cs="Arial"/>
                <w:sz w:val="24"/>
              </w:rPr>
            </w:pPr>
            <w:r w:rsidRPr="00D17FED">
              <w:rPr>
                <w:rFonts w:eastAsia="Calibri" w:cs="Arial"/>
                <w:b/>
                <w:sz w:val="24"/>
              </w:rPr>
              <w:t>Likelihood</w:t>
            </w:r>
          </w:p>
        </w:tc>
        <w:tc>
          <w:tcPr>
            <w:tcW w:w="1725" w:type="dxa"/>
            <w:shd w:val="clear" w:color="auto" w:fill="E5F0FF"/>
          </w:tcPr>
          <w:p w14:paraId="64FD40C6" w14:textId="77777777" w:rsidR="002D37D6" w:rsidRPr="00D17FED" w:rsidRDefault="002D37D6">
            <w:pPr>
              <w:spacing w:before="120" w:after="120"/>
              <w:ind w:left="40"/>
              <w:rPr>
                <w:rFonts w:eastAsia="Calibri" w:cs="Arial"/>
                <w:b/>
                <w:sz w:val="24"/>
              </w:rPr>
            </w:pPr>
            <w:r w:rsidRPr="00D17FED">
              <w:rPr>
                <w:rFonts w:eastAsia="Calibri" w:cs="Arial"/>
                <w:b/>
                <w:sz w:val="24"/>
              </w:rPr>
              <w:t>Impact</w:t>
            </w:r>
          </w:p>
        </w:tc>
        <w:tc>
          <w:tcPr>
            <w:tcW w:w="1725" w:type="dxa"/>
            <w:shd w:val="clear" w:color="auto" w:fill="E5F0FF"/>
          </w:tcPr>
          <w:p w14:paraId="62AAD02F" w14:textId="77777777" w:rsidR="002D37D6" w:rsidRPr="00D17FED" w:rsidRDefault="002D37D6">
            <w:pPr>
              <w:spacing w:before="120" w:after="120"/>
              <w:ind w:left="40"/>
              <w:rPr>
                <w:rFonts w:eastAsia="Calibri" w:cs="Arial"/>
                <w:b/>
                <w:sz w:val="24"/>
              </w:rPr>
            </w:pPr>
            <w:r w:rsidRPr="00D17FED">
              <w:rPr>
                <w:rFonts w:eastAsia="Calibri" w:cs="Arial"/>
                <w:b/>
                <w:sz w:val="24"/>
              </w:rPr>
              <w:t>Residual risk</w:t>
            </w:r>
          </w:p>
        </w:tc>
      </w:tr>
      <w:tr w:rsidR="009657C0" w:rsidRPr="002F2A86" w14:paraId="693D2337" w14:textId="77777777">
        <w:tc>
          <w:tcPr>
            <w:tcW w:w="1724" w:type="dxa"/>
          </w:tcPr>
          <w:p w14:paraId="2922C45A" w14:textId="77777777" w:rsidR="002D37D6" w:rsidRPr="00D17FED" w:rsidRDefault="002D37D6">
            <w:pPr>
              <w:spacing w:before="120" w:after="120"/>
              <w:ind w:left="40"/>
              <w:rPr>
                <w:rFonts w:eastAsia="Calibri" w:cs="Arial"/>
                <w:sz w:val="24"/>
              </w:rPr>
            </w:pPr>
            <w:r>
              <w:rPr>
                <w:rFonts w:eastAsia="Calibri" w:cs="Arial"/>
                <w:sz w:val="24"/>
              </w:rPr>
              <w:t>4</w:t>
            </w:r>
          </w:p>
        </w:tc>
        <w:tc>
          <w:tcPr>
            <w:tcW w:w="1725" w:type="dxa"/>
          </w:tcPr>
          <w:p w14:paraId="35D38CA2" w14:textId="77777777" w:rsidR="002D37D6" w:rsidRPr="00D17FED" w:rsidRDefault="002D37D6">
            <w:pPr>
              <w:spacing w:before="120" w:after="120"/>
              <w:ind w:left="40"/>
              <w:rPr>
                <w:rFonts w:eastAsia="Calibri" w:cs="Arial"/>
                <w:sz w:val="24"/>
              </w:rPr>
            </w:pPr>
            <w:r>
              <w:rPr>
                <w:rFonts w:eastAsia="Calibri" w:cs="Arial"/>
                <w:sz w:val="24"/>
              </w:rPr>
              <w:t>4</w:t>
            </w:r>
          </w:p>
        </w:tc>
        <w:tc>
          <w:tcPr>
            <w:tcW w:w="1725" w:type="dxa"/>
            <w:shd w:val="clear" w:color="auto" w:fill="FFC000"/>
          </w:tcPr>
          <w:p w14:paraId="0FC6F7D3" w14:textId="77777777" w:rsidR="002D37D6" w:rsidRPr="00D17FED" w:rsidRDefault="002D37D6">
            <w:pPr>
              <w:spacing w:before="120" w:after="120"/>
              <w:ind w:left="40"/>
              <w:rPr>
                <w:rFonts w:eastAsia="Calibri" w:cs="Arial"/>
                <w:sz w:val="24"/>
              </w:rPr>
            </w:pPr>
            <w:r>
              <w:rPr>
                <w:rFonts w:eastAsia="Calibri" w:cs="Arial"/>
                <w:sz w:val="24"/>
              </w:rPr>
              <w:t>16</w:t>
            </w:r>
            <w:r w:rsidRPr="00F010FB">
              <w:rPr>
                <w:rFonts w:eastAsia="Calibri" w:cs="Arial"/>
                <w:sz w:val="24"/>
              </w:rPr>
              <w:t xml:space="preserve"> – </w:t>
            </w:r>
            <w:r>
              <w:rPr>
                <w:rFonts w:eastAsia="Calibri" w:cs="Arial"/>
                <w:sz w:val="24"/>
              </w:rPr>
              <w:t>High</w:t>
            </w:r>
            <w:r w:rsidRPr="00F010FB">
              <w:rPr>
                <w:rFonts w:eastAsia="Calibri" w:cs="Arial"/>
                <w:sz w:val="24"/>
              </w:rPr>
              <w:t xml:space="preserve"> </w:t>
            </w:r>
          </w:p>
        </w:tc>
        <w:tc>
          <w:tcPr>
            <w:tcW w:w="1724" w:type="dxa"/>
            <w:shd w:val="clear" w:color="auto" w:fill="auto"/>
          </w:tcPr>
          <w:p w14:paraId="5F1E0C61" w14:textId="77777777" w:rsidR="002D37D6" w:rsidRPr="00D17FED" w:rsidRDefault="002D37D6">
            <w:pPr>
              <w:spacing w:before="120" w:after="120"/>
              <w:ind w:left="40"/>
              <w:rPr>
                <w:rFonts w:eastAsia="Calibri" w:cs="Arial"/>
                <w:b/>
                <w:sz w:val="24"/>
              </w:rPr>
            </w:pPr>
            <w:r>
              <w:rPr>
                <w:rFonts w:eastAsia="Calibri" w:cs="Arial"/>
                <w:b/>
                <w:sz w:val="24"/>
              </w:rPr>
              <w:t>4</w:t>
            </w:r>
          </w:p>
        </w:tc>
        <w:tc>
          <w:tcPr>
            <w:tcW w:w="1725" w:type="dxa"/>
            <w:shd w:val="clear" w:color="auto" w:fill="auto"/>
          </w:tcPr>
          <w:p w14:paraId="1ECDBDF5" w14:textId="77777777" w:rsidR="002D37D6" w:rsidRPr="00D17FED" w:rsidRDefault="002D37D6">
            <w:pPr>
              <w:spacing w:before="120" w:after="120"/>
              <w:ind w:left="40"/>
              <w:rPr>
                <w:rFonts w:eastAsia="Calibri" w:cs="Arial"/>
                <w:b/>
                <w:sz w:val="24"/>
              </w:rPr>
            </w:pPr>
            <w:r>
              <w:rPr>
                <w:rFonts w:eastAsia="Calibri" w:cs="Arial"/>
                <w:b/>
                <w:sz w:val="24"/>
              </w:rPr>
              <w:t>3</w:t>
            </w:r>
          </w:p>
        </w:tc>
        <w:tc>
          <w:tcPr>
            <w:tcW w:w="1725" w:type="dxa"/>
            <w:shd w:val="clear" w:color="auto" w:fill="FFC000"/>
          </w:tcPr>
          <w:p w14:paraId="55FD15E0" w14:textId="77777777" w:rsidR="002D37D6" w:rsidRPr="00D17FED" w:rsidRDefault="002D37D6">
            <w:pPr>
              <w:spacing w:before="120" w:after="120"/>
              <w:ind w:left="40"/>
              <w:rPr>
                <w:rFonts w:eastAsia="Calibri" w:cs="Arial"/>
                <w:b/>
                <w:sz w:val="24"/>
              </w:rPr>
            </w:pPr>
            <w:r>
              <w:rPr>
                <w:rFonts w:eastAsia="Calibri" w:cs="Arial"/>
                <w:b/>
                <w:sz w:val="24"/>
              </w:rPr>
              <w:t>12 – High</w:t>
            </w:r>
          </w:p>
        </w:tc>
      </w:tr>
      <w:tr w:rsidR="009657C0" w:rsidRPr="002F2A86" w14:paraId="2FC29EED" w14:textId="77777777">
        <w:tc>
          <w:tcPr>
            <w:tcW w:w="8623" w:type="dxa"/>
            <w:gridSpan w:val="5"/>
            <w:shd w:val="clear" w:color="auto" w:fill="auto"/>
            <w:hideMark/>
          </w:tcPr>
          <w:p w14:paraId="697CE3F2" w14:textId="77777777" w:rsidR="002D37D6" w:rsidRPr="00D17FED" w:rsidRDefault="002D37D6">
            <w:pPr>
              <w:spacing w:before="120" w:after="120"/>
              <w:ind w:left="40"/>
              <w:rPr>
                <w:rFonts w:eastAsia="Calibri" w:cs="Arial"/>
                <w:b/>
                <w:sz w:val="24"/>
              </w:rPr>
            </w:pPr>
            <w:r w:rsidRPr="00D17FED">
              <w:rPr>
                <w:rFonts w:eastAsia="Calibri" w:cs="Arial"/>
                <w:b/>
                <w:sz w:val="24"/>
              </w:rPr>
              <w:t xml:space="preserve">Tolerance threshold: </w:t>
            </w:r>
          </w:p>
        </w:tc>
        <w:tc>
          <w:tcPr>
            <w:tcW w:w="1725" w:type="dxa"/>
            <w:shd w:val="clear" w:color="auto" w:fill="FFFF00"/>
          </w:tcPr>
          <w:p w14:paraId="7741BB7D" w14:textId="77777777" w:rsidR="002D37D6" w:rsidRPr="00D17FED" w:rsidRDefault="002D37D6">
            <w:pPr>
              <w:spacing w:before="120" w:after="120"/>
              <w:ind w:left="40"/>
              <w:rPr>
                <w:rFonts w:eastAsia="Calibri" w:cs="Arial"/>
                <w:b/>
                <w:sz w:val="24"/>
              </w:rPr>
            </w:pPr>
            <w:r>
              <w:rPr>
                <w:rFonts w:eastAsia="Calibri" w:cs="Arial"/>
                <w:b/>
                <w:sz w:val="24"/>
              </w:rPr>
              <w:t>9 – Medium</w:t>
            </w:r>
          </w:p>
        </w:tc>
      </w:tr>
    </w:tbl>
    <w:p w14:paraId="5857AEF5" w14:textId="77777777" w:rsidR="002D37D6" w:rsidRDefault="002D37D6" w:rsidP="002D37D6">
      <w:pPr>
        <w:rPr>
          <w:rFonts w:eastAsia="Calibri"/>
          <w:b/>
        </w:rPr>
      </w:pPr>
    </w:p>
    <w:tbl>
      <w:tblPr>
        <w:tblW w:w="10348"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8E90"/>
        </w:tblBorders>
        <w:tblLayout w:type="fixed"/>
        <w:tblCellMar>
          <w:left w:w="28" w:type="dxa"/>
          <w:right w:w="28" w:type="dxa"/>
        </w:tblCellMar>
        <w:tblLook w:val="04A0" w:firstRow="1" w:lastRow="0" w:firstColumn="1" w:lastColumn="0" w:noHBand="0" w:noVBand="1"/>
      </w:tblPr>
      <w:tblGrid>
        <w:gridCol w:w="10348"/>
      </w:tblGrid>
      <w:tr w:rsidR="00FE7291" w:rsidRPr="002F2A86" w14:paraId="444FD683" w14:textId="77777777">
        <w:trPr>
          <w:trHeight w:val="510"/>
        </w:trPr>
        <w:tc>
          <w:tcPr>
            <w:tcW w:w="10348" w:type="dxa"/>
          </w:tcPr>
          <w:p w14:paraId="4171C2ED" w14:textId="77777777" w:rsidR="002D37D6" w:rsidRPr="00D17FED" w:rsidRDefault="002D37D6">
            <w:pPr>
              <w:spacing w:before="120" w:after="120" w:line="276" w:lineRule="auto"/>
              <w:ind w:left="112"/>
              <w:rPr>
                <w:rFonts w:eastAsia="Calibri" w:cs="Arial"/>
                <w:b/>
                <w:sz w:val="24"/>
              </w:rPr>
            </w:pPr>
            <w:r w:rsidRPr="00D17FED">
              <w:rPr>
                <w:rFonts w:eastAsia="Calibri" w:cs="Arial"/>
                <w:b/>
                <w:sz w:val="24"/>
              </w:rPr>
              <w:t>Commentary</w:t>
            </w:r>
          </w:p>
        </w:tc>
      </w:tr>
      <w:tr w:rsidR="00FE7291" w:rsidRPr="002F2A86" w14:paraId="769D681B" w14:textId="77777777">
        <w:trPr>
          <w:trHeight w:val="2128"/>
        </w:trPr>
        <w:tc>
          <w:tcPr>
            <w:tcW w:w="10348" w:type="dxa"/>
          </w:tcPr>
          <w:p w14:paraId="45E54651" w14:textId="77777777" w:rsidR="002D37D6" w:rsidRPr="005241B8" w:rsidRDefault="002D37D6">
            <w:pPr>
              <w:spacing w:before="120" w:after="120"/>
              <w:ind w:left="111"/>
              <w:rPr>
                <w:rFonts w:eastAsia="Calibri" w:cs="Arial"/>
                <w:b/>
                <w:bCs/>
                <w:sz w:val="24"/>
              </w:rPr>
            </w:pPr>
            <w:r>
              <w:rPr>
                <w:rFonts w:eastAsia="Calibri" w:cs="Arial"/>
                <w:b/>
                <w:bCs/>
                <w:sz w:val="24"/>
              </w:rPr>
              <w:t>Above</w:t>
            </w:r>
            <w:r w:rsidRPr="005241B8">
              <w:rPr>
                <w:rFonts w:eastAsia="Calibri" w:cs="Arial"/>
                <w:b/>
                <w:bCs/>
                <w:sz w:val="24"/>
              </w:rPr>
              <w:t xml:space="preserve"> tolerance. </w:t>
            </w:r>
          </w:p>
          <w:p w14:paraId="07C76C64" w14:textId="1894260B" w:rsidR="002D37D6" w:rsidRDefault="002D37D6">
            <w:pPr>
              <w:spacing w:before="120" w:after="120" w:line="276" w:lineRule="auto"/>
              <w:ind w:left="111" w:right="114"/>
              <w:rPr>
                <w:rFonts w:eastAsia="Calibri" w:cs="Arial"/>
                <w:bCs/>
                <w:sz w:val="24"/>
              </w:rPr>
            </w:pPr>
            <w:r w:rsidRPr="00223798">
              <w:rPr>
                <w:rFonts w:eastAsia="Calibri" w:cs="Arial"/>
                <w:bCs/>
                <w:sz w:val="24"/>
              </w:rPr>
              <w:t xml:space="preserve">Over the last 2 years the HTA has been progressing with the planned development of its digital data and technology (systems and architecture) as part of the Development Programme. The planned development had been incremental based on available resources and aimed to future proof business needs.  </w:t>
            </w:r>
          </w:p>
          <w:p w14:paraId="0895FF70" w14:textId="0D875FA8" w:rsidR="002D37D6" w:rsidRDefault="002D37D6">
            <w:pPr>
              <w:spacing w:before="120" w:after="120" w:line="276" w:lineRule="auto"/>
              <w:ind w:left="111" w:right="114"/>
              <w:rPr>
                <w:rFonts w:eastAsia="Calibri" w:cs="Arial"/>
                <w:bCs/>
                <w:sz w:val="24"/>
              </w:rPr>
            </w:pPr>
            <w:r>
              <w:rPr>
                <w:rFonts w:eastAsia="Calibri" w:cs="Arial"/>
                <w:bCs/>
                <w:sz w:val="24"/>
              </w:rPr>
              <w:t xml:space="preserve">Two projects were identified in 2022/23. These were (1) the adoption of an IT Shared Services model and (2) stage 2 development of the Regulatory Insight Model and Index. As identified under risk 6 progress has not been possible due to resource constraints. The HTA’s IT function has been an area of consistent pressure and over commitment of internal resource for a number of years. As part of the 2023/24 business plan there has been confirmation of a substantive Head of IT position. The identified resource is positive however given the competitive IT recruitment market, successful recruitment is a risk. A revised recruitment plan and approach has been identified and will be shared with </w:t>
            </w:r>
            <w:proofErr w:type="spellStart"/>
            <w:r>
              <w:rPr>
                <w:rFonts w:eastAsia="Calibri" w:cs="Arial"/>
                <w:bCs/>
                <w:sz w:val="24"/>
              </w:rPr>
              <w:t>RemCo</w:t>
            </w:r>
            <w:proofErr w:type="spellEnd"/>
            <w:r>
              <w:rPr>
                <w:rFonts w:eastAsia="Calibri" w:cs="Arial"/>
                <w:bCs/>
                <w:sz w:val="24"/>
              </w:rPr>
              <w:t>.</w:t>
            </w:r>
          </w:p>
          <w:p w14:paraId="7D752D9F" w14:textId="00B1C817" w:rsidR="002D37D6" w:rsidRDefault="002D37D6">
            <w:pPr>
              <w:spacing w:before="120" w:after="120" w:line="276" w:lineRule="auto"/>
              <w:ind w:left="111" w:right="114"/>
              <w:rPr>
                <w:rFonts w:eastAsia="Calibri" w:cs="Arial"/>
                <w:bCs/>
                <w:sz w:val="24"/>
              </w:rPr>
            </w:pPr>
            <w:r>
              <w:rPr>
                <w:rFonts w:eastAsia="Calibri" w:cs="Arial"/>
                <w:bCs/>
                <w:sz w:val="24"/>
              </w:rPr>
              <w:t>As with risk 6 the HTA’s ability to optimise the use of existing and emerging data, digital and technology opportunities is largely reliant on investment and resource. There is a clear vision and confidence in what could be delivered although the reliance on single roles in this area and wider ambitions means that substantive recruited resource is at capacity.</w:t>
            </w:r>
          </w:p>
          <w:p w14:paraId="04456E19" w14:textId="09136ACE" w:rsidR="002D37D6" w:rsidRPr="00FC11A4" w:rsidRDefault="002D37D6">
            <w:pPr>
              <w:spacing w:before="120" w:after="120" w:line="276" w:lineRule="auto"/>
              <w:ind w:left="111" w:right="114"/>
              <w:rPr>
                <w:rFonts w:eastAsia="Calibri" w:cs="Arial"/>
                <w:bCs/>
                <w:sz w:val="24"/>
              </w:rPr>
            </w:pPr>
            <w:r>
              <w:rPr>
                <w:rFonts w:eastAsia="Calibri" w:cs="Arial"/>
                <w:bCs/>
                <w:sz w:val="24"/>
              </w:rPr>
              <w:t>At the start of 2023/24 this risk is above tolerance.</w:t>
            </w:r>
          </w:p>
        </w:tc>
      </w:tr>
    </w:tbl>
    <w:p w14:paraId="0FAFC866" w14:textId="77777777" w:rsidR="002D37D6" w:rsidRDefault="002D37D6" w:rsidP="002D37D6">
      <w:pPr>
        <w:pStyle w:val="Heading2"/>
        <w:rPr>
          <w:color w:val="auto"/>
        </w:rPr>
      </w:pPr>
    </w:p>
    <w:p w14:paraId="6F031D2D" w14:textId="77777777" w:rsidR="002D37D6" w:rsidRDefault="002D37D6" w:rsidP="002D37D6">
      <w:pPr>
        <w:rPr>
          <w:rFonts w:ascii="Arial" w:eastAsia="Calibri" w:hAnsi="Arial" w:cstheme="majorBidi"/>
          <w:b/>
          <w:sz w:val="24"/>
          <w:szCs w:val="26"/>
        </w:rPr>
      </w:pPr>
      <w:r>
        <w:br w:type="page"/>
      </w:r>
    </w:p>
    <w:p w14:paraId="6583283A" w14:textId="77777777" w:rsidR="002D37D6" w:rsidRPr="002F2A86" w:rsidRDefault="002D37D6" w:rsidP="002D37D6">
      <w:pPr>
        <w:pStyle w:val="Heading2"/>
        <w:rPr>
          <w:color w:val="auto"/>
        </w:rPr>
      </w:pPr>
      <w:r>
        <w:rPr>
          <w:color w:val="auto"/>
        </w:rPr>
        <w:lastRenderedPageBreak/>
        <w:t>R8</w:t>
      </w:r>
      <w:r w:rsidRPr="002F2A86">
        <w:rPr>
          <w:color w:val="auto"/>
        </w:rPr>
        <w:t xml:space="preserve">: </w:t>
      </w:r>
      <w:r>
        <w:rPr>
          <w:color w:val="auto"/>
        </w:rPr>
        <w:t>Failure to deliver the agreed Business Plan</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4"/>
        <w:gridCol w:w="1725"/>
        <w:gridCol w:w="1725"/>
        <w:gridCol w:w="1724"/>
        <w:gridCol w:w="1725"/>
        <w:gridCol w:w="1725"/>
      </w:tblGrid>
      <w:tr w:rsidR="00FE7291" w:rsidRPr="002F2A86" w14:paraId="02863E7E" w14:textId="77777777">
        <w:tc>
          <w:tcPr>
            <w:tcW w:w="5174" w:type="dxa"/>
            <w:gridSpan w:val="3"/>
            <w:shd w:val="clear" w:color="auto" w:fill="auto"/>
            <w:hideMark/>
          </w:tcPr>
          <w:p w14:paraId="73AB3406" w14:textId="77777777" w:rsidR="002D37D6" w:rsidRPr="00D17FED" w:rsidRDefault="002D37D6">
            <w:pPr>
              <w:spacing w:before="120" w:after="120"/>
              <w:ind w:left="41"/>
              <w:rPr>
                <w:rFonts w:eastAsia="Calibri" w:cs="Arial"/>
                <w:b/>
                <w:sz w:val="24"/>
              </w:rPr>
            </w:pPr>
            <w:r w:rsidRPr="00D17FED">
              <w:rPr>
                <w:rFonts w:eastAsia="Calibri" w:cs="Arial"/>
                <w:b/>
                <w:sz w:val="24"/>
              </w:rPr>
              <w:t>Inherent risk level:</w:t>
            </w:r>
          </w:p>
        </w:tc>
        <w:tc>
          <w:tcPr>
            <w:tcW w:w="5174" w:type="dxa"/>
            <w:gridSpan w:val="3"/>
            <w:shd w:val="clear" w:color="auto" w:fill="auto"/>
          </w:tcPr>
          <w:p w14:paraId="09F7CD28" w14:textId="77777777" w:rsidR="002D37D6" w:rsidRPr="00D17FED" w:rsidRDefault="002D37D6">
            <w:pPr>
              <w:spacing w:before="120" w:after="120"/>
              <w:ind w:left="41"/>
              <w:rPr>
                <w:rFonts w:eastAsia="Calibri" w:cs="Arial"/>
                <w:b/>
                <w:sz w:val="24"/>
              </w:rPr>
            </w:pPr>
            <w:r w:rsidRPr="00D17FED">
              <w:rPr>
                <w:rFonts w:eastAsia="Calibri" w:cs="Arial"/>
                <w:b/>
                <w:sz w:val="24"/>
              </w:rPr>
              <w:t>Residual risk level:</w:t>
            </w:r>
          </w:p>
        </w:tc>
      </w:tr>
      <w:tr w:rsidR="009657C0" w:rsidRPr="002F2A86" w14:paraId="7B5748CD" w14:textId="77777777">
        <w:tc>
          <w:tcPr>
            <w:tcW w:w="1724" w:type="dxa"/>
            <w:shd w:val="clear" w:color="auto" w:fill="E5F0FF"/>
            <w:hideMark/>
          </w:tcPr>
          <w:p w14:paraId="73181BC5" w14:textId="77777777" w:rsidR="002D37D6" w:rsidRPr="00D17FED" w:rsidRDefault="002D37D6">
            <w:pPr>
              <w:spacing w:before="120" w:after="120"/>
              <w:ind w:left="40"/>
              <w:rPr>
                <w:rFonts w:eastAsia="Calibri" w:cs="Arial"/>
                <w:sz w:val="24"/>
              </w:rPr>
            </w:pPr>
            <w:r w:rsidRPr="00D17FED">
              <w:rPr>
                <w:rFonts w:eastAsia="Calibri" w:cs="Arial"/>
                <w:sz w:val="24"/>
              </w:rPr>
              <w:t xml:space="preserve">Likelihood </w:t>
            </w:r>
          </w:p>
        </w:tc>
        <w:tc>
          <w:tcPr>
            <w:tcW w:w="1725" w:type="dxa"/>
            <w:shd w:val="clear" w:color="auto" w:fill="E5F0FF"/>
            <w:hideMark/>
          </w:tcPr>
          <w:p w14:paraId="7EEE5704" w14:textId="77777777" w:rsidR="002D37D6" w:rsidRPr="00D17FED" w:rsidRDefault="002D37D6">
            <w:pPr>
              <w:spacing w:before="120" w:after="120"/>
              <w:ind w:left="40"/>
              <w:rPr>
                <w:rFonts w:eastAsia="Calibri" w:cs="Arial"/>
                <w:sz w:val="24"/>
              </w:rPr>
            </w:pPr>
            <w:r w:rsidRPr="00D17FED">
              <w:rPr>
                <w:rFonts w:eastAsia="Calibri" w:cs="Arial"/>
                <w:sz w:val="24"/>
              </w:rPr>
              <w:t xml:space="preserve">Impact </w:t>
            </w:r>
          </w:p>
        </w:tc>
        <w:tc>
          <w:tcPr>
            <w:tcW w:w="1725" w:type="dxa"/>
            <w:shd w:val="clear" w:color="auto" w:fill="E5F0FF"/>
            <w:hideMark/>
          </w:tcPr>
          <w:p w14:paraId="188D2E5D" w14:textId="77777777" w:rsidR="002D37D6" w:rsidRPr="00D17FED" w:rsidRDefault="002D37D6">
            <w:pPr>
              <w:spacing w:before="120" w:after="120"/>
              <w:ind w:left="40"/>
              <w:rPr>
                <w:rFonts w:eastAsia="Calibri" w:cs="Arial"/>
                <w:sz w:val="24"/>
              </w:rPr>
            </w:pPr>
            <w:r w:rsidRPr="00D17FED">
              <w:rPr>
                <w:rFonts w:eastAsia="Calibri" w:cs="Arial"/>
                <w:sz w:val="24"/>
              </w:rPr>
              <w:t>Inherent risk</w:t>
            </w:r>
          </w:p>
        </w:tc>
        <w:tc>
          <w:tcPr>
            <w:tcW w:w="1724" w:type="dxa"/>
            <w:shd w:val="clear" w:color="auto" w:fill="E5F0FF"/>
          </w:tcPr>
          <w:p w14:paraId="7B386DA3" w14:textId="77777777" w:rsidR="002D37D6" w:rsidRPr="00D17FED" w:rsidRDefault="002D37D6">
            <w:pPr>
              <w:spacing w:before="120" w:after="120"/>
              <w:ind w:left="40"/>
              <w:rPr>
                <w:rFonts w:eastAsia="Calibri" w:cs="Arial"/>
                <w:sz w:val="24"/>
              </w:rPr>
            </w:pPr>
            <w:r w:rsidRPr="00D17FED">
              <w:rPr>
                <w:rFonts w:eastAsia="Calibri" w:cs="Arial"/>
                <w:b/>
                <w:sz w:val="24"/>
              </w:rPr>
              <w:t>Likelihood</w:t>
            </w:r>
          </w:p>
        </w:tc>
        <w:tc>
          <w:tcPr>
            <w:tcW w:w="1725" w:type="dxa"/>
            <w:shd w:val="clear" w:color="auto" w:fill="E5F0FF"/>
          </w:tcPr>
          <w:p w14:paraId="3ED30DD6" w14:textId="77777777" w:rsidR="002D37D6" w:rsidRPr="00D17FED" w:rsidRDefault="002D37D6">
            <w:pPr>
              <w:spacing w:before="120" w:after="120"/>
              <w:ind w:left="40"/>
              <w:rPr>
                <w:rFonts w:eastAsia="Calibri" w:cs="Arial"/>
                <w:b/>
                <w:sz w:val="24"/>
              </w:rPr>
            </w:pPr>
            <w:r w:rsidRPr="00D17FED">
              <w:rPr>
                <w:rFonts w:eastAsia="Calibri" w:cs="Arial"/>
                <w:b/>
                <w:sz w:val="24"/>
              </w:rPr>
              <w:t>Impact</w:t>
            </w:r>
          </w:p>
        </w:tc>
        <w:tc>
          <w:tcPr>
            <w:tcW w:w="1725" w:type="dxa"/>
            <w:shd w:val="clear" w:color="auto" w:fill="E5F0FF"/>
          </w:tcPr>
          <w:p w14:paraId="41C69BE4" w14:textId="77777777" w:rsidR="002D37D6" w:rsidRPr="00D17FED" w:rsidRDefault="002D37D6">
            <w:pPr>
              <w:spacing w:before="120" w:after="120"/>
              <w:ind w:left="40"/>
              <w:rPr>
                <w:rFonts w:eastAsia="Calibri" w:cs="Arial"/>
                <w:b/>
                <w:sz w:val="24"/>
              </w:rPr>
            </w:pPr>
            <w:r w:rsidRPr="00D17FED">
              <w:rPr>
                <w:rFonts w:eastAsia="Calibri" w:cs="Arial"/>
                <w:b/>
                <w:sz w:val="24"/>
              </w:rPr>
              <w:t>Residual risk</w:t>
            </w:r>
          </w:p>
        </w:tc>
      </w:tr>
      <w:tr w:rsidR="009657C0" w:rsidRPr="002F2A86" w14:paraId="67F6E04E" w14:textId="77777777">
        <w:tc>
          <w:tcPr>
            <w:tcW w:w="1724" w:type="dxa"/>
          </w:tcPr>
          <w:p w14:paraId="5E90CB8B" w14:textId="77777777" w:rsidR="002D37D6" w:rsidRPr="00D17FED" w:rsidRDefault="002D37D6">
            <w:pPr>
              <w:spacing w:before="120" w:after="120"/>
              <w:ind w:left="40"/>
              <w:rPr>
                <w:rFonts w:eastAsia="Calibri" w:cs="Arial"/>
                <w:sz w:val="24"/>
              </w:rPr>
            </w:pPr>
            <w:r>
              <w:rPr>
                <w:rFonts w:eastAsia="Calibri" w:cs="Arial"/>
                <w:sz w:val="24"/>
              </w:rPr>
              <w:t>3</w:t>
            </w:r>
          </w:p>
        </w:tc>
        <w:tc>
          <w:tcPr>
            <w:tcW w:w="1725" w:type="dxa"/>
          </w:tcPr>
          <w:p w14:paraId="73DD8310" w14:textId="77777777" w:rsidR="002D37D6" w:rsidRPr="00D17FED" w:rsidRDefault="002D37D6">
            <w:pPr>
              <w:spacing w:before="120" w:after="120"/>
              <w:ind w:left="40"/>
              <w:rPr>
                <w:rFonts w:eastAsia="Calibri" w:cs="Arial"/>
                <w:sz w:val="24"/>
              </w:rPr>
            </w:pPr>
            <w:r>
              <w:rPr>
                <w:rFonts w:eastAsia="Calibri" w:cs="Arial"/>
                <w:sz w:val="24"/>
              </w:rPr>
              <w:t>4</w:t>
            </w:r>
          </w:p>
        </w:tc>
        <w:tc>
          <w:tcPr>
            <w:tcW w:w="1725" w:type="dxa"/>
            <w:shd w:val="clear" w:color="auto" w:fill="FFC000"/>
          </w:tcPr>
          <w:p w14:paraId="13F9E86A" w14:textId="77777777" w:rsidR="002D37D6" w:rsidRPr="00D17FED" w:rsidRDefault="002D37D6">
            <w:pPr>
              <w:spacing w:before="120" w:after="120"/>
              <w:ind w:left="40"/>
              <w:rPr>
                <w:rFonts w:eastAsia="Calibri" w:cs="Arial"/>
                <w:sz w:val="24"/>
              </w:rPr>
            </w:pPr>
            <w:r>
              <w:rPr>
                <w:rFonts w:eastAsia="Calibri" w:cs="Arial"/>
                <w:sz w:val="24"/>
              </w:rPr>
              <w:t>12</w:t>
            </w:r>
            <w:r w:rsidRPr="00F010FB">
              <w:rPr>
                <w:rFonts w:eastAsia="Calibri" w:cs="Arial"/>
                <w:sz w:val="24"/>
              </w:rPr>
              <w:t xml:space="preserve"> – </w:t>
            </w:r>
            <w:r>
              <w:rPr>
                <w:rFonts w:eastAsia="Calibri" w:cs="Arial"/>
                <w:sz w:val="24"/>
              </w:rPr>
              <w:t>High</w:t>
            </w:r>
            <w:r w:rsidRPr="00F010FB">
              <w:rPr>
                <w:rFonts w:eastAsia="Calibri" w:cs="Arial"/>
                <w:sz w:val="24"/>
              </w:rPr>
              <w:t xml:space="preserve"> </w:t>
            </w:r>
          </w:p>
        </w:tc>
        <w:tc>
          <w:tcPr>
            <w:tcW w:w="1724" w:type="dxa"/>
            <w:shd w:val="clear" w:color="auto" w:fill="auto"/>
          </w:tcPr>
          <w:p w14:paraId="7555D7B0" w14:textId="77777777" w:rsidR="002D37D6" w:rsidRPr="00D17FED" w:rsidRDefault="002D37D6">
            <w:pPr>
              <w:spacing w:before="120" w:after="120"/>
              <w:ind w:left="40"/>
              <w:rPr>
                <w:rFonts w:eastAsia="Calibri" w:cs="Arial"/>
                <w:b/>
                <w:sz w:val="24"/>
              </w:rPr>
            </w:pPr>
            <w:r>
              <w:rPr>
                <w:rFonts w:eastAsia="Calibri" w:cs="Arial"/>
                <w:b/>
                <w:sz w:val="24"/>
              </w:rPr>
              <w:t>3</w:t>
            </w:r>
          </w:p>
        </w:tc>
        <w:tc>
          <w:tcPr>
            <w:tcW w:w="1725" w:type="dxa"/>
            <w:shd w:val="clear" w:color="auto" w:fill="auto"/>
          </w:tcPr>
          <w:p w14:paraId="79406914" w14:textId="77777777" w:rsidR="002D37D6" w:rsidRPr="00D17FED" w:rsidRDefault="002D37D6">
            <w:pPr>
              <w:spacing w:before="120" w:after="120"/>
              <w:ind w:left="40"/>
              <w:rPr>
                <w:rFonts w:eastAsia="Calibri" w:cs="Arial"/>
                <w:b/>
                <w:sz w:val="24"/>
              </w:rPr>
            </w:pPr>
            <w:r>
              <w:rPr>
                <w:rFonts w:eastAsia="Calibri" w:cs="Arial"/>
                <w:b/>
                <w:sz w:val="24"/>
              </w:rPr>
              <w:t>3</w:t>
            </w:r>
          </w:p>
        </w:tc>
        <w:tc>
          <w:tcPr>
            <w:tcW w:w="1725" w:type="dxa"/>
            <w:shd w:val="clear" w:color="auto" w:fill="FFFF00"/>
          </w:tcPr>
          <w:p w14:paraId="370C2511" w14:textId="77777777" w:rsidR="002D37D6" w:rsidRPr="00D17FED" w:rsidRDefault="002D37D6">
            <w:pPr>
              <w:spacing w:before="120" w:after="120"/>
              <w:ind w:left="40"/>
              <w:rPr>
                <w:rFonts w:eastAsia="Calibri" w:cs="Arial"/>
                <w:b/>
                <w:sz w:val="24"/>
              </w:rPr>
            </w:pPr>
            <w:r>
              <w:rPr>
                <w:rFonts w:eastAsia="Calibri" w:cs="Arial"/>
                <w:b/>
                <w:sz w:val="24"/>
              </w:rPr>
              <w:t>9 – Medium</w:t>
            </w:r>
          </w:p>
        </w:tc>
      </w:tr>
      <w:tr w:rsidR="009657C0" w:rsidRPr="002F2A86" w14:paraId="373D67D2" w14:textId="77777777">
        <w:tc>
          <w:tcPr>
            <w:tcW w:w="8623" w:type="dxa"/>
            <w:gridSpan w:val="5"/>
            <w:shd w:val="clear" w:color="auto" w:fill="auto"/>
            <w:hideMark/>
          </w:tcPr>
          <w:p w14:paraId="0507F618" w14:textId="77777777" w:rsidR="002D37D6" w:rsidRPr="00D17FED" w:rsidRDefault="002D37D6">
            <w:pPr>
              <w:spacing w:before="120" w:after="120"/>
              <w:ind w:left="40"/>
              <w:rPr>
                <w:rFonts w:eastAsia="Calibri" w:cs="Arial"/>
                <w:b/>
                <w:sz w:val="24"/>
              </w:rPr>
            </w:pPr>
            <w:r w:rsidRPr="00D17FED">
              <w:rPr>
                <w:rFonts w:eastAsia="Calibri" w:cs="Arial"/>
                <w:b/>
                <w:sz w:val="24"/>
              </w:rPr>
              <w:t xml:space="preserve">Tolerance threshold: </w:t>
            </w:r>
          </w:p>
        </w:tc>
        <w:tc>
          <w:tcPr>
            <w:tcW w:w="1725" w:type="dxa"/>
            <w:shd w:val="clear" w:color="auto" w:fill="FFFF00"/>
          </w:tcPr>
          <w:p w14:paraId="1D789D76" w14:textId="77777777" w:rsidR="002D37D6" w:rsidRPr="00D17FED" w:rsidRDefault="002D37D6">
            <w:pPr>
              <w:spacing w:before="120" w:after="120"/>
              <w:ind w:left="40"/>
              <w:rPr>
                <w:rFonts w:eastAsia="Calibri" w:cs="Arial"/>
                <w:b/>
                <w:sz w:val="24"/>
              </w:rPr>
            </w:pPr>
            <w:r>
              <w:rPr>
                <w:rFonts w:eastAsia="Calibri" w:cs="Arial"/>
                <w:b/>
                <w:sz w:val="24"/>
              </w:rPr>
              <w:t>6 – Medium</w:t>
            </w:r>
          </w:p>
        </w:tc>
      </w:tr>
    </w:tbl>
    <w:p w14:paraId="1D085C1C" w14:textId="77777777" w:rsidR="002D37D6" w:rsidRDefault="002D37D6" w:rsidP="002D37D6">
      <w:pPr>
        <w:rPr>
          <w:rFonts w:eastAsia="Calibri"/>
          <w:b/>
        </w:rPr>
      </w:pPr>
    </w:p>
    <w:tbl>
      <w:tblPr>
        <w:tblW w:w="10348"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8E90"/>
        </w:tblBorders>
        <w:tblLayout w:type="fixed"/>
        <w:tblCellMar>
          <w:left w:w="28" w:type="dxa"/>
          <w:right w:w="28" w:type="dxa"/>
        </w:tblCellMar>
        <w:tblLook w:val="04A0" w:firstRow="1" w:lastRow="0" w:firstColumn="1" w:lastColumn="0" w:noHBand="0" w:noVBand="1"/>
      </w:tblPr>
      <w:tblGrid>
        <w:gridCol w:w="10348"/>
      </w:tblGrid>
      <w:tr w:rsidR="00FE7291" w:rsidRPr="002F2A86" w14:paraId="0F21CF34" w14:textId="77777777">
        <w:trPr>
          <w:trHeight w:val="510"/>
        </w:trPr>
        <w:tc>
          <w:tcPr>
            <w:tcW w:w="10348" w:type="dxa"/>
          </w:tcPr>
          <w:p w14:paraId="64C25AC9" w14:textId="77777777" w:rsidR="002D37D6" w:rsidRPr="00D17FED" w:rsidRDefault="002D37D6">
            <w:pPr>
              <w:spacing w:before="120" w:after="120" w:line="276" w:lineRule="auto"/>
              <w:ind w:left="112"/>
              <w:rPr>
                <w:rFonts w:eastAsia="Calibri" w:cs="Arial"/>
                <w:b/>
                <w:sz w:val="24"/>
              </w:rPr>
            </w:pPr>
            <w:r w:rsidRPr="00D17FED">
              <w:rPr>
                <w:rFonts w:eastAsia="Calibri" w:cs="Arial"/>
                <w:b/>
                <w:sz w:val="24"/>
              </w:rPr>
              <w:t>Commentary</w:t>
            </w:r>
          </w:p>
        </w:tc>
      </w:tr>
      <w:tr w:rsidR="00FE7291" w:rsidRPr="002F2A86" w14:paraId="5A229107" w14:textId="77777777">
        <w:trPr>
          <w:trHeight w:val="2128"/>
        </w:trPr>
        <w:tc>
          <w:tcPr>
            <w:tcW w:w="10348" w:type="dxa"/>
          </w:tcPr>
          <w:p w14:paraId="1F16ACDF" w14:textId="77777777" w:rsidR="002D37D6" w:rsidRPr="00D634B7" w:rsidRDefault="002D37D6">
            <w:pPr>
              <w:spacing w:before="120" w:after="120" w:line="276" w:lineRule="auto"/>
              <w:ind w:left="111" w:right="114"/>
              <w:rPr>
                <w:rFonts w:eastAsia="Calibri" w:cs="Arial"/>
                <w:b/>
                <w:sz w:val="24"/>
              </w:rPr>
            </w:pPr>
            <w:r>
              <w:rPr>
                <w:rFonts w:eastAsia="Calibri" w:cs="Arial"/>
                <w:b/>
                <w:sz w:val="24"/>
              </w:rPr>
              <w:t>Above</w:t>
            </w:r>
            <w:r w:rsidRPr="007C2009">
              <w:rPr>
                <w:rFonts w:eastAsia="Calibri" w:cs="Arial"/>
                <w:b/>
                <w:sz w:val="24"/>
              </w:rPr>
              <w:t xml:space="preserve"> tolerance.</w:t>
            </w:r>
          </w:p>
          <w:p w14:paraId="43F2BC94" w14:textId="77777777" w:rsidR="002D37D6" w:rsidRDefault="002D37D6">
            <w:pPr>
              <w:spacing w:before="120" w:after="120" w:line="276" w:lineRule="auto"/>
              <w:ind w:left="111" w:right="114"/>
              <w:rPr>
                <w:rFonts w:eastAsia="Calibri" w:cs="Arial"/>
                <w:bCs/>
                <w:sz w:val="24"/>
              </w:rPr>
            </w:pPr>
            <w:r>
              <w:rPr>
                <w:rFonts w:eastAsia="Calibri" w:cs="Arial"/>
                <w:bCs/>
                <w:sz w:val="24"/>
              </w:rPr>
              <w:t xml:space="preserve">The 23/24 Business Plan has been created through a codesign process involving Board and staff such that we are confident that it is both challenging but achievable. </w:t>
            </w:r>
          </w:p>
          <w:p w14:paraId="5239643D" w14:textId="77777777" w:rsidR="002D37D6" w:rsidRDefault="002D37D6">
            <w:pPr>
              <w:spacing w:before="120" w:after="120" w:line="276" w:lineRule="auto"/>
              <w:ind w:left="111" w:right="114"/>
              <w:rPr>
                <w:rFonts w:eastAsia="Calibri" w:cs="Arial"/>
                <w:bCs/>
                <w:sz w:val="24"/>
              </w:rPr>
            </w:pPr>
            <w:r>
              <w:rPr>
                <w:rFonts w:eastAsia="Calibri" w:cs="Arial"/>
                <w:bCs/>
                <w:sz w:val="24"/>
              </w:rPr>
              <w:t>We operate a formal Portfolio Management approach to the management of our Business Plan delivery, with explicit processes and best practice outputs tracking progress and scrutiny at Business Delivery Team (middle management) fortnightly, Portfolio SMT (senior management) monthly and Board quarterly.</w:t>
            </w:r>
          </w:p>
          <w:p w14:paraId="7EC75644" w14:textId="77777777" w:rsidR="002D37D6" w:rsidRDefault="002D37D6">
            <w:pPr>
              <w:spacing w:before="120" w:after="120" w:line="276" w:lineRule="auto"/>
              <w:ind w:left="111" w:right="114"/>
              <w:rPr>
                <w:rFonts w:eastAsia="Calibri" w:cs="Arial"/>
                <w:bCs/>
                <w:sz w:val="24"/>
              </w:rPr>
            </w:pPr>
            <w:r>
              <w:rPr>
                <w:rFonts w:eastAsia="Calibri" w:cs="Arial"/>
                <w:bCs/>
                <w:sz w:val="24"/>
              </w:rPr>
              <w:t>Portfolio Management allows us to be flexible in-year so that as we are reviewing our performance, we can also consider additional requests and pressures as they arise, refining our Business Plan through change control and redeploying resources as needed.</w:t>
            </w:r>
          </w:p>
          <w:p w14:paraId="4045744D" w14:textId="05420DAA" w:rsidR="002D37D6" w:rsidRDefault="002D37D6">
            <w:pPr>
              <w:spacing w:before="120" w:after="120" w:line="276" w:lineRule="auto"/>
              <w:ind w:left="111" w:right="114"/>
              <w:rPr>
                <w:rFonts w:eastAsia="Calibri" w:cs="Arial"/>
                <w:bCs/>
                <w:sz w:val="24"/>
              </w:rPr>
            </w:pPr>
            <w:r>
              <w:rPr>
                <w:rFonts w:eastAsia="Calibri" w:cs="Arial"/>
                <w:bCs/>
                <w:sz w:val="24"/>
              </w:rPr>
              <w:t xml:space="preserve">To date, progress to deliver the 23/24 Business Plan has been noted as acceptable, albeit that a number of indicative </w:t>
            </w:r>
            <w:r w:rsidR="00D26AB8">
              <w:rPr>
                <w:rFonts w:eastAsia="Calibri" w:cs="Arial"/>
                <w:bCs/>
                <w:sz w:val="24"/>
              </w:rPr>
              <w:t>p</w:t>
            </w:r>
            <w:r>
              <w:rPr>
                <w:rFonts w:eastAsia="Calibri" w:cs="Arial"/>
                <w:bCs/>
                <w:sz w:val="24"/>
              </w:rPr>
              <w:t xml:space="preserve">roject start dates have been adjusted through change control to later in the year. </w:t>
            </w:r>
          </w:p>
          <w:p w14:paraId="438B82B7" w14:textId="77777777" w:rsidR="002D37D6" w:rsidRPr="00695D88" w:rsidRDefault="002D37D6">
            <w:pPr>
              <w:spacing w:before="120" w:after="120" w:line="276" w:lineRule="auto"/>
              <w:ind w:left="111" w:right="114"/>
              <w:rPr>
                <w:rFonts w:eastAsia="Calibri" w:cs="Arial"/>
                <w:bCs/>
                <w:sz w:val="24"/>
              </w:rPr>
            </w:pPr>
            <w:r>
              <w:rPr>
                <w:rFonts w:eastAsia="Calibri" w:cs="Arial"/>
                <w:bCs/>
                <w:sz w:val="24"/>
              </w:rPr>
              <w:t>This risk is currently considered slightly above tolerance on the basis that we have an ambitious Business Plan and anticipate that any repetition of staffing issues from 22/23 or the wider financial pressures and the drive for efficiencies from government may mean that we have to scale back our ambitions in-year. It is hoped that we will be able to bring this risk back to tolerance as we progress through the business year and start delivering outputs.</w:t>
            </w:r>
          </w:p>
        </w:tc>
      </w:tr>
    </w:tbl>
    <w:p w14:paraId="7B229E9E" w14:textId="77777777" w:rsidR="002D37D6" w:rsidRDefault="002D37D6" w:rsidP="002D37D6">
      <w:pPr>
        <w:rPr>
          <w:rFonts w:eastAsia="Calibri"/>
          <w:b/>
          <w:bCs/>
          <w:color w:val="7030A0"/>
          <w:sz w:val="28"/>
          <w:szCs w:val="32"/>
        </w:rPr>
      </w:pPr>
    </w:p>
    <w:p w14:paraId="25091E50" w14:textId="5E383190" w:rsidR="002D37D6" w:rsidRDefault="002D37D6">
      <w:pPr>
        <w:rPr>
          <w:rFonts w:eastAsia="Calibri"/>
          <w:b/>
          <w:bCs/>
          <w:color w:val="7030A0"/>
          <w:sz w:val="28"/>
          <w:szCs w:val="32"/>
        </w:rPr>
      </w:pPr>
      <w:r>
        <w:rPr>
          <w:rFonts w:eastAsia="Calibri"/>
          <w:b/>
          <w:bCs/>
          <w:color w:val="7030A0"/>
          <w:sz w:val="28"/>
          <w:szCs w:val="32"/>
        </w:rPr>
        <w:br w:type="page"/>
      </w:r>
    </w:p>
    <w:p w14:paraId="69DC9ABB" w14:textId="77777777" w:rsidR="002D37D6" w:rsidRPr="00AF27B3" w:rsidRDefault="002D37D6" w:rsidP="002D37D6">
      <w:pPr>
        <w:spacing w:line="276" w:lineRule="auto"/>
        <w:rPr>
          <w:rFonts w:eastAsia="Calibri"/>
          <w:b/>
          <w:bCs/>
          <w:color w:val="7030A0"/>
          <w:sz w:val="28"/>
          <w:szCs w:val="28"/>
        </w:rPr>
      </w:pPr>
      <w:r w:rsidRPr="00AF27B3">
        <w:rPr>
          <w:rFonts w:eastAsia="Calibri"/>
          <w:b/>
          <w:bCs/>
          <w:color w:val="7030A0"/>
          <w:sz w:val="28"/>
          <w:szCs w:val="28"/>
        </w:rPr>
        <w:lastRenderedPageBreak/>
        <w:t>Reviews and revisions</w:t>
      </w:r>
    </w:p>
    <w:p w14:paraId="018787A8" w14:textId="77777777" w:rsidR="002D37D6" w:rsidRDefault="002D37D6" w:rsidP="002D37D6">
      <w:pPr>
        <w:rPr>
          <w:rFonts w:eastAsia="Arial" w:cs="Arial"/>
          <w:color w:val="7030A0"/>
          <w:sz w:val="24"/>
          <w:u w:val="single"/>
        </w:rPr>
      </w:pPr>
      <w:r w:rsidRPr="3EE7AEA7">
        <w:rPr>
          <w:rFonts w:eastAsia="Arial" w:cs="Arial"/>
          <w:b/>
          <w:bCs/>
          <w:color w:val="7030A0"/>
          <w:sz w:val="24"/>
        </w:rPr>
        <w:t>(</w:t>
      </w:r>
      <w:r>
        <w:rPr>
          <w:rFonts w:eastAsia="Arial" w:cs="Arial"/>
          <w:b/>
          <w:bCs/>
          <w:color w:val="7030A0"/>
          <w:sz w:val="24"/>
        </w:rPr>
        <w:t>25</w:t>
      </w:r>
      <w:r w:rsidRPr="3EE7AEA7">
        <w:rPr>
          <w:rFonts w:eastAsia="Arial" w:cs="Arial"/>
          <w:b/>
          <w:bCs/>
          <w:color w:val="7030A0"/>
          <w:sz w:val="24"/>
        </w:rPr>
        <w:t>/</w:t>
      </w:r>
      <w:r>
        <w:rPr>
          <w:rFonts w:eastAsia="Arial" w:cs="Arial"/>
          <w:b/>
          <w:bCs/>
          <w:color w:val="7030A0"/>
          <w:sz w:val="24"/>
        </w:rPr>
        <w:t>04</w:t>
      </w:r>
      <w:r w:rsidRPr="3EE7AEA7">
        <w:rPr>
          <w:rFonts w:eastAsia="Arial" w:cs="Arial"/>
          <w:b/>
          <w:bCs/>
          <w:color w:val="7030A0"/>
          <w:sz w:val="24"/>
        </w:rPr>
        <w:t>/2</w:t>
      </w:r>
      <w:r>
        <w:rPr>
          <w:rFonts w:eastAsia="Arial" w:cs="Arial"/>
          <w:b/>
          <w:bCs/>
          <w:color w:val="7030A0"/>
          <w:sz w:val="24"/>
        </w:rPr>
        <w:t>3</w:t>
      </w:r>
      <w:r w:rsidRPr="3EE7AEA7">
        <w:rPr>
          <w:rFonts w:eastAsia="Arial" w:cs="Arial"/>
          <w:b/>
          <w:bCs/>
          <w:color w:val="7030A0"/>
          <w:sz w:val="24"/>
        </w:rPr>
        <w:t xml:space="preserve">) SMT review </w:t>
      </w:r>
      <w:r>
        <w:rPr>
          <w:rFonts w:eastAsia="Arial" w:cs="Arial"/>
          <w:b/>
          <w:bCs/>
          <w:color w:val="7030A0"/>
          <w:sz w:val="24"/>
        </w:rPr>
        <w:t>April/May 2023</w:t>
      </w:r>
    </w:p>
    <w:p w14:paraId="0F4B4D87" w14:textId="77777777" w:rsidR="002D37D6" w:rsidRDefault="002D37D6" w:rsidP="002D37D6">
      <w:pPr>
        <w:rPr>
          <w:rFonts w:eastAsia="Calibri"/>
          <w:bCs/>
        </w:rPr>
      </w:pPr>
      <w:r>
        <w:rPr>
          <w:rFonts w:eastAsia="Calibri"/>
          <w:bCs/>
        </w:rPr>
        <w:t>At its meeting in April, the SMT reviewed each of its Strategic risks. There was discussion around whether we have sufficient breadth of risk and whether a risk that focused on data and digital was needed in addition to the risk around delivery of the Development programme. It was agreed that each risk owner should review their risk descriptions and in addition create 2 new risks around business plan delivery and strategy – strategic direction. A risk focussing on compliance is to be discussed at the next meeting.</w:t>
      </w:r>
    </w:p>
    <w:p w14:paraId="56E9EFD6" w14:textId="783FF36F" w:rsidR="002D37D6" w:rsidRPr="00FC11A4" w:rsidRDefault="00AA5254" w:rsidP="002D37D6">
      <w:pPr>
        <w:rPr>
          <w:rFonts w:eastAsia="Calibri"/>
          <w:b/>
          <w:color w:val="7030A0"/>
          <w:u w:val="single"/>
        </w:rPr>
      </w:pPr>
      <w:r w:rsidRPr="00FC11A4">
        <w:rPr>
          <w:rFonts w:eastAsia="Calibri"/>
          <w:b/>
          <w:color w:val="7030A0"/>
          <w:u w:val="single"/>
        </w:rPr>
        <w:t>(</w:t>
      </w:r>
      <w:r w:rsidRPr="00FC11A4">
        <w:rPr>
          <w:rFonts w:eastAsia="Arial" w:cs="Arial"/>
          <w:b/>
          <w:bCs/>
          <w:color w:val="7030A0"/>
          <w:sz w:val="24"/>
          <w:u w:val="single"/>
        </w:rPr>
        <w:t>23</w:t>
      </w:r>
      <w:r w:rsidRPr="00FC11A4">
        <w:rPr>
          <w:rFonts w:eastAsia="Calibri"/>
          <w:b/>
          <w:color w:val="7030A0"/>
          <w:u w:val="single"/>
        </w:rPr>
        <w:t>/05/23)</w:t>
      </w:r>
      <w:r w:rsidR="004F14CF" w:rsidRPr="00FC11A4">
        <w:rPr>
          <w:rFonts w:eastAsia="Calibri"/>
          <w:b/>
          <w:color w:val="7030A0"/>
          <w:u w:val="single"/>
        </w:rPr>
        <w:t xml:space="preserve"> SMT review May/June 2023</w:t>
      </w:r>
    </w:p>
    <w:p w14:paraId="67A2BCA2" w14:textId="77777777" w:rsidR="002D37D6" w:rsidRDefault="002D37D6" w:rsidP="002D37D6">
      <w:pPr>
        <w:rPr>
          <w:rFonts w:eastAsia="Calibri"/>
          <w:bCs/>
        </w:rPr>
      </w:pPr>
      <w:r>
        <w:rPr>
          <w:rFonts w:eastAsia="Calibri"/>
          <w:bCs/>
        </w:rPr>
        <w:t>At its May meeting, the SMT agreed the re-wording of risk 2 and a reduction in the likelihood. Risk 4 has been amended to reflect not just recruitment and vacancies but to reflect risks around the workforce.</w:t>
      </w:r>
    </w:p>
    <w:p w14:paraId="692B6F29" w14:textId="77777777" w:rsidR="002D37D6" w:rsidRDefault="002D37D6" w:rsidP="002D37D6">
      <w:pPr>
        <w:rPr>
          <w:rFonts w:eastAsia="Calibri"/>
          <w:bCs/>
        </w:rPr>
      </w:pPr>
      <w:r>
        <w:rPr>
          <w:rFonts w:eastAsia="Calibri"/>
          <w:bCs/>
        </w:rPr>
        <w:t>Risk 5 has been re-cast, however, SMT felt that the tolerance level was too low and that this will be brought to ARAC in June to discuss a recommendation to the Board to increase it to 4.</w:t>
      </w:r>
    </w:p>
    <w:p w14:paraId="42546FB4" w14:textId="77777777" w:rsidR="002D37D6" w:rsidRDefault="002D37D6" w:rsidP="002D37D6">
      <w:pPr>
        <w:rPr>
          <w:rFonts w:eastAsia="Calibri"/>
          <w:bCs/>
        </w:rPr>
      </w:pPr>
      <w:r>
        <w:rPr>
          <w:rFonts w:eastAsia="Calibri"/>
          <w:bCs/>
        </w:rPr>
        <w:t>Risks 6 has been split into two (risk 6 and risk 8) to reflect risks around our strategy and our business planning.</w:t>
      </w:r>
    </w:p>
    <w:p w14:paraId="1FA9F9C0" w14:textId="7BDA3AB0" w:rsidR="002D37D6" w:rsidRPr="004A56C9" w:rsidRDefault="002D37D6" w:rsidP="002D37D6">
      <w:pPr>
        <w:rPr>
          <w:rFonts w:eastAsia="Calibri"/>
          <w:bCs/>
        </w:rPr>
      </w:pPr>
      <w:r>
        <w:rPr>
          <w:rFonts w:eastAsia="Calibri"/>
          <w:bCs/>
        </w:rPr>
        <w:t xml:space="preserve">There is a final risk which requires further discussion. The risk update paper presented to ARAC in June will refer to this risk and the need for discussion. </w:t>
      </w:r>
    </w:p>
    <w:p w14:paraId="56DF0561" w14:textId="77777777" w:rsidR="002D37D6" w:rsidRPr="004A56C9" w:rsidRDefault="002D37D6" w:rsidP="002D37D6">
      <w:pPr>
        <w:rPr>
          <w:rFonts w:eastAsia="Calibri"/>
          <w:bCs/>
        </w:rPr>
      </w:pPr>
      <w:r>
        <w:rPr>
          <w:rFonts w:eastAsia="Calibri"/>
          <w:bCs/>
        </w:rPr>
        <w:t xml:space="preserve"> </w:t>
      </w:r>
    </w:p>
    <w:p w14:paraId="44DE30C8" w14:textId="77777777" w:rsidR="002D37D6" w:rsidRDefault="002D37D6" w:rsidP="002D37D6">
      <w:pPr>
        <w:rPr>
          <w:rFonts w:eastAsia="Calibri"/>
          <w:b/>
        </w:rPr>
      </w:pPr>
    </w:p>
    <w:p w14:paraId="763023C3" w14:textId="77777777" w:rsidR="00D03D0B" w:rsidRDefault="00D03D0B" w:rsidP="00FC11A4">
      <w:pPr>
        <w:pStyle w:val="NumberedlistHTA"/>
        <w:numPr>
          <w:ilvl w:val="0"/>
          <w:numId w:val="0"/>
        </w:numPr>
        <w:spacing w:after="160"/>
        <w:rPr>
          <w:rStyle w:val="Emphasis"/>
          <w:i w:val="0"/>
        </w:rPr>
      </w:pPr>
    </w:p>
    <w:sectPr w:rsidR="00D03D0B" w:rsidSect="00653D33">
      <w:type w:val="continuous"/>
      <w:pgSz w:w="11906" w:h="16838"/>
      <w:pgMar w:top="1701" w:right="567" w:bottom="1440" w:left="851" w:header="567"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52551" w14:textId="77777777" w:rsidR="00D11C6C" w:rsidRDefault="00D11C6C" w:rsidP="000C5581">
      <w:pPr>
        <w:spacing w:after="0" w:line="240" w:lineRule="auto"/>
      </w:pPr>
      <w:r>
        <w:separator/>
      </w:r>
    </w:p>
  </w:endnote>
  <w:endnote w:type="continuationSeparator" w:id="0">
    <w:p w14:paraId="36200F32" w14:textId="77777777" w:rsidR="00D11C6C" w:rsidRDefault="00D11C6C" w:rsidP="000C5581">
      <w:pPr>
        <w:spacing w:after="0" w:line="240" w:lineRule="auto"/>
      </w:pPr>
      <w:r>
        <w:continuationSeparator/>
      </w:r>
    </w:p>
  </w:endnote>
  <w:endnote w:type="continuationNotice" w:id="1">
    <w:p w14:paraId="4E16A132" w14:textId="77777777" w:rsidR="00D11C6C" w:rsidRDefault="00D11C6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utura Std Book">
    <w:altName w:val="Calibri"/>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color w:val="auto"/>
        <w:sz w:val="22"/>
        <w:szCs w:val="22"/>
      </w:rPr>
      <w:id w:val="346673554"/>
      <w:docPartObj>
        <w:docPartGallery w:val="Page Numbers (Bottom of Page)"/>
        <w:docPartUnique/>
      </w:docPartObj>
    </w:sdtPr>
    <w:sdtEndPr>
      <w:rPr>
        <w:noProof/>
      </w:rPr>
    </w:sdtEndPr>
    <w:sdtContent>
      <w:sdt>
        <w:sdtPr>
          <w:rPr>
            <w:rFonts w:asciiTheme="minorHAnsi" w:eastAsiaTheme="minorHAnsi" w:hAnsiTheme="minorHAnsi" w:cstheme="minorBidi"/>
            <w:color w:val="auto"/>
            <w:sz w:val="18"/>
            <w:szCs w:val="18"/>
          </w:rPr>
          <w:id w:val="-1778165792"/>
          <w:docPartObj>
            <w:docPartGallery w:val="Page Numbers (Bottom of Page)"/>
            <w:docPartUnique/>
          </w:docPartObj>
        </w:sdtPr>
        <w:sdtEndPr>
          <w:rPr>
            <w:rFonts w:ascii="Arial" w:eastAsia="Batang" w:hAnsi="Arial" w:cs="Arial"/>
            <w:color w:val="000000" w:themeColor="text1"/>
          </w:rPr>
        </w:sdtEndPr>
        <w:sdtContent>
          <w:p w14:paraId="56F585AB" w14:textId="77777777" w:rsidR="007F1657" w:rsidRDefault="007F1657" w:rsidP="007F1657">
            <w:pPr>
              <w:pStyle w:val="BodytextHTA"/>
              <w:rPr>
                <w:sz w:val="18"/>
                <w:szCs w:val="18"/>
              </w:rPr>
            </w:pPr>
          </w:p>
          <w:p w14:paraId="44EAC5C0" w14:textId="391572D1" w:rsidR="00345D28" w:rsidRDefault="007F1657" w:rsidP="005E3BD4">
            <w:pPr>
              <w:pStyle w:val="BodytextHTA"/>
              <w:rPr>
                <w:noProof/>
              </w:rPr>
            </w:pPr>
            <w:r>
              <w:rPr>
                <w:sz w:val="18"/>
                <w:szCs w:val="18"/>
              </w:rPr>
              <w:t xml:space="preserve">HTA meeting papers are not policy documents. </w:t>
            </w:r>
            <w:r>
              <w:rPr>
                <w:sz w:val="18"/>
                <w:szCs w:val="18"/>
              </w:rPr>
              <w:br/>
              <w:t>Draft policies may be subject to revision following the HTA Board meeting</w:t>
            </w:r>
          </w:p>
        </w:sdtContent>
      </w:sdt>
      <w:p w14:paraId="3807FAA9" w14:textId="60F94F61" w:rsidR="001F300A" w:rsidRDefault="00000000" w:rsidP="001F300A">
        <w:pPr>
          <w:pStyle w:val="Footer"/>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5767" w14:textId="3B16063F" w:rsidR="002D37D6" w:rsidRPr="005F237B" w:rsidRDefault="002D37D6" w:rsidP="002B20E2">
    <w:pPr>
      <w:pStyle w:val="Footer"/>
      <w:jc w:val="center"/>
      <w:rPr>
        <w:rFonts w:ascii="Futura Std Book" w:hAnsi="Futura Std Book"/>
        <w:b/>
        <w:bCs/>
        <w:color w:val="008E90"/>
      </w:rPr>
    </w:pPr>
  </w:p>
  <w:p w14:paraId="698AE66D" w14:textId="77777777" w:rsidR="002D37D6" w:rsidRDefault="002D3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50DC1" w14:textId="77777777" w:rsidR="00D11C6C" w:rsidRDefault="00D11C6C" w:rsidP="000C5581">
      <w:pPr>
        <w:spacing w:after="0" w:line="240" w:lineRule="auto"/>
      </w:pPr>
      <w:r>
        <w:separator/>
      </w:r>
    </w:p>
  </w:footnote>
  <w:footnote w:type="continuationSeparator" w:id="0">
    <w:p w14:paraId="3E807912" w14:textId="77777777" w:rsidR="00D11C6C" w:rsidRDefault="00D11C6C" w:rsidP="000C5581">
      <w:pPr>
        <w:spacing w:after="0" w:line="240" w:lineRule="auto"/>
      </w:pPr>
      <w:r>
        <w:continuationSeparator/>
      </w:r>
    </w:p>
  </w:footnote>
  <w:footnote w:type="continuationNotice" w:id="1">
    <w:p w14:paraId="6EC939EC" w14:textId="77777777" w:rsidR="00D11C6C" w:rsidRDefault="00D11C6C">
      <w:pPr>
        <w:spacing w:before="0" w:after="0" w:line="240" w:lineRule="auto"/>
      </w:pPr>
    </w:p>
  </w:footnote>
  <w:footnote w:id="2">
    <w:p w14:paraId="5D973296" w14:textId="1C66DCB5" w:rsidR="007E55D4" w:rsidRPr="002635E0" w:rsidRDefault="007E55D4" w:rsidP="007E55D4">
      <w:pPr>
        <w:pStyle w:val="FootnoteText"/>
        <w:rPr>
          <w:rFonts w:asciiTheme="minorHAnsi" w:hAnsiTheme="minorHAnsi" w:cstheme="minorHAnsi"/>
        </w:rPr>
      </w:pPr>
      <w:r w:rsidRPr="002635E0">
        <w:rPr>
          <w:rStyle w:val="FootnoteReference"/>
          <w:rFonts w:asciiTheme="minorHAnsi" w:hAnsiTheme="minorHAnsi" w:cstheme="minorHAnsi"/>
        </w:rPr>
        <w:footnoteRef/>
      </w:r>
      <w:r w:rsidRPr="002635E0">
        <w:rPr>
          <w:rFonts w:asciiTheme="minorHAnsi" w:hAnsiTheme="minorHAnsi" w:cstheme="minorHAnsi"/>
        </w:rPr>
        <w:t xml:space="preserve"> </w:t>
      </w:r>
      <w:r w:rsidR="00CE7CE6" w:rsidRPr="002635E0">
        <w:rPr>
          <w:rFonts w:asciiTheme="minorHAnsi" w:hAnsiTheme="minorHAnsi" w:cstheme="minorHAnsi"/>
        </w:rPr>
        <w:t>Is one ALB</w:t>
      </w:r>
      <w:r w:rsidR="00837533">
        <w:rPr>
          <w:rFonts w:asciiTheme="minorHAnsi" w:hAnsiTheme="minorHAnsi" w:cstheme="minorHAnsi"/>
        </w:rPr>
        <w:t xml:space="preserve">, </w:t>
      </w:r>
      <w:r w:rsidR="00B91CEF">
        <w:rPr>
          <w:rFonts w:asciiTheme="minorHAnsi" w:hAnsiTheme="minorHAnsi" w:cstheme="minorHAnsi"/>
        </w:rPr>
        <w:t xml:space="preserve">and the account was cleared in </w:t>
      </w:r>
      <w:r w:rsidR="000E1745">
        <w:rPr>
          <w:rFonts w:asciiTheme="minorHAnsi" w:hAnsiTheme="minorHAnsi" w:cstheme="minorHAnsi"/>
        </w:rPr>
        <w:t>June</w:t>
      </w:r>
      <w:r w:rsidR="00B91CEF">
        <w:rPr>
          <w:rFonts w:asciiTheme="minorHAnsi" w:hAnsiTheme="minorHAnsi" w:cstheme="minorHAnsi"/>
        </w:rPr>
        <w:t xml:space="preserve"> 2023.</w:t>
      </w:r>
    </w:p>
  </w:footnote>
  <w:footnote w:id="3">
    <w:p w14:paraId="0C7C908B" w14:textId="77777777" w:rsidR="007E55D4" w:rsidRPr="002635E0" w:rsidRDefault="007E55D4" w:rsidP="007E55D4">
      <w:pPr>
        <w:pStyle w:val="FootnoteText"/>
        <w:rPr>
          <w:rFonts w:asciiTheme="minorHAnsi" w:hAnsiTheme="minorHAnsi" w:cstheme="minorHAnsi"/>
        </w:rPr>
      </w:pPr>
      <w:r w:rsidRPr="002635E0">
        <w:rPr>
          <w:rStyle w:val="FootnoteReference"/>
          <w:rFonts w:asciiTheme="minorHAnsi" w:hAnsiTheme="minorHAnsi" w:cstheme="minorHAnsi"/>
        </w:rPr>
        <w:footnoteRef/>
      </w:r>
      <w:r w:rsidRPr="002635E0">
        <w:rPr>
          <w:rFonts w:asciiTheme="minorHAnsi" w:hAnsiTheme="minorHAnsi" w:cstheme="minorHAnsi"/>
        </w:rPr>
        <w:t xml:space="preserve"> Includes Universities and private organisations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B2A2" w14:textId="7A81ADF9" w:rsidR="008C7CA1" w:rsidRDefault="008C7CA1">
    <w:pPr>
      <w:pStyle w:val="Header"/>
    </w:pPr>
    <w:r>
      <w:rPr>
        <w:noProof/>
        <w:color w:val="2B579A"/>
        <w:shd w:val="clear" w:color="auto" w:fill="E6E6E6"/>
      </w:rPr>
      <w:drawing>
        <wp:anchor distT="0" distB="0" distL="114300" distR="114300" simplePos="0" relativeHeight="251658241" behindDoc="1" locked="1" layoutInCell="1" allowOverlap="1" wp14:anchorId="3F760C3A" wp14:editId="00338796">
          <wp:simplePos x="0" y="0"/>
          <wp:positionH relativeFrom="page">
            <wp:posOffset>5159375</wp:posOffset>
          </wp:positionH>
          <wp:positionV relativeFrom="page">
            <wp:posOffset>360045</wp:posOffset>
          </wp:positionV>
          <wp:extent cx="2019600" cy="608400"/>
          <wp:effectExtent l="0" t="0" r="0"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2019600" cy="608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7D86" w14:textId="77777777" w:rsidR="002D37D6" w:rsidRDefault="002D37D6">
    <w:pPr>
      <w:pStyle w:val="Header"/>
    </w:pPr>
    <w:r w:rsidRPr="00926895">
      <w:rPr>
        <w:noProof/>
        <w:color w:val="2B579A"/>
        <w:shd w:val="clear" w:color="auto" w:fill="E6E6E6"/>
      </w:rPr>
      <w:drawing>
        <wp:anchor distT="0" distB="0" distL="114300" distR="114300" simplePos="0" relativeHeight="251658240" behindDoc="0" locked="0" layoutInCell="1" allowOverlap="1" wp14:anchorId="15FE53E4" wp14:editId="43BB265D">
          <wp:simplePos x="0" y="0"/>
          <wp:positionH relativeFrom="column">
            <wp:posOffset>4762500</wp:posOffset>
          </wp:positionH>
          <wp:positionV relativeFrom="paragraph">
            <wp:posOffset>-269875</wp:posOffset>
          </wp:positionV>
          <wp:extent cx="1981200" cy="600075"/>
          <wp:effectExtent l="0" t="0" r="0"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600075"/>
                  </a:xfrm>
                  <a:prstGeom prst="rect">
                    <a:avLst/>
                  </a:prstGeom>
                  <a:noFill/>
                  <a:ln>
                    <a:noFill/>
                  </a:ln>
                </pic:spPr>
              </pic:pic>
            </a:graphicData>
          </a:graphic>
        </wp:anchor>
      </w:drawing>
    </w:r>
  </w:p>
  <w:p w14:paraId="024256C6" w14:textId="77777777" w:rsidR="002D37D6" w:rsidRDefault="002D37D6">
    <w:pPr>
      <w:pStyle w:val="Header"/>
    </w:pPr>
  </w:p>
  <w:p w14:paraId="46079C48" w14:textId="77777777" w:rsidR="002D37D6" w:rsidRDefault="002D37D6">
    <w:pPr>
      <w:pStyle w:val="Header"/>
    </w:pPr>
  </w:p>
  <w:p w14:paraId="2D035266" w14:textId="77777777" w:rsidR="002D37D6" w:rsidRDefault="002D37D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5Y1dQ7x5" int2:invalidationBookmarkName="" int2:hashCode="oDKeFME1Nby2NZ" int2:id="3nHiC49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C4D2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921CFA"/>
    <w:multiLevelType w:val="hybridMultilevel"/>
    <w:tmpl w:val="DB363810"/>
    <w:lvl w:ilvl="0" w:tplc="4D785DE4">
      <w:start w:val="1"/>
      <w:numFmt w:val="decimal"/>
      <w:lvlText w:val="%1."/>
      <w:lvlJc w:val="left"/>
      <w:pPr>
        <w:ind w:left="720" w:hanging="360"/>
      </w:pPr>
      <w:rPr>
        <w:rFonts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C453832"/>
    <w:multiLevelType w:val="hybridMultilevel"/>
    <w:tmpl w:val="31260EB2"/>
    <w:lvl w:ilvl="0" w:tplc="39248D96">
      <w:start w:val="1"/>
      <w:numFmt w:val="bullet"/>
      <w:lvlText w:val="•"/>
      <w:lvlJc w:val="left"/>
      <w:pPr>
        <w:tabs>
          <w:tab w:val="num" w:pos="720"/>
        </w:tabs>
        <w:ind w:left="720" w:hanging="360"/>
      </w:pPr>
      <w:rPr>
        <w:rFonts w:ascii="Arial" w:hAnsi="Arial" w:hint="default"/>
      </w:rPr>
    </w:lvl>
    <w:lvl w:ilvl="1" w:tplc="423424E8" w:tentative="1">
      <w:start w:val="1"/>
      <w:numFmt w:val="bullet"/>
      <w:lvlText w:val="•"/>
      <w:lvlJc w:val="left"/>
      <w:pPr>
        <w:tabs>
          <w:tab w:val="num" w:pos="1440"/>
        </w:tabs>
        <w:ind w:left="1440" w:hanging="360"/>
      </w:pPr>
      <w:rPr>
        <w:rFonts w:ascii="Arial" w:hAnsi="Arial" w:hint="default"/>
      </w:rPr>
    </w:lvl>
    <w:lvl w:ilvl="2" w:tplc="25DCF4EC" w:tentative="1">
      <w:start w:val="1"/>
      <w:numFmt w:val="bullet"/>
      <w:lvlText w:val="•"/>
      <w:lvlJc w:val="left"/>
      <w:pPr>
        <w:tabs>
          <w:tab w:val="num" w:pos="2160"/>
        </w:tabs>
        <w:ind w:left="2160" w:hanging="360"/>
      </w:pPr>
      <w:rPr>
        <w:rFonts w:ascii="Arial" w:hAnsi="Arial" w:hint="default"/>
      </w:rPr>
    </w:lvl>
    <w:lvl w:ilvl="3" w:tplc="B972D718" w:tentative="1">
      <w:start w:val="1"/>
      <w:numFmt w:val="bullet"/>
      <w:lvlText w:val="•"/>
      <w:lvlJc w:val="left"/>
      <w:pPr>
        <w:tabs>
          <w:tab w:val="num" w:pos="2880"/>
        </w:tabs>
        <w:ind w:left="2880" w:hanging="360"/>
      </w:pPr>
      <w:rPr>
        <w:rFonts w:ascii="Arial" w:hAnsi="Arial" w:hint="default"/>
      </w:rPr>
    </w:lvl>
    <w:lvl w:ilvl="4" w:tplc="7236E306" w:tentative="1">
      <w:start w:val="1"/>
      <w:numFmt w:val="bullet"/>
      <w:lvlText w:val="•"/>
      <w:lvlJc w:val="left"/>
      <w:pPr>
        <w:tabs>
          <w:tab w:val="num" w:pos="3600"/>
        </w:tabs>
        <w:ind w:left="3600" w:hanging="360"/>
      </w:pPr>
      <w:rPr>
        <w:rFonts w:ascii="Arial" w:hAnsi="Arial" w:hint="default"/>
      </w:rPr>
    </w:lvl>
    <w:lvl w:ilvl="5" w:tplc="F9EC5E20" w:tentative="1">
      <w:start w:val="1"/>
      <w:numFmt w:val="bullet"/>
      <w:lvlText w:val="•"/>
      <w:lvlJc w:val="left"/>
      <w:pPr>
        <w:tabs>
          <w:tab w:val="num" w:pos="4320"/>
        </w:tabs>
        <w:ind w:left="4320" w:hanging="360"/>
      </w:pPr>
      <w:rPr>
        <w:rFonts w:ascii="Arial" w:hAnsi="Arial" w:hint="default"/>
      </w:rPr>
    </w:lvl>
    <w:lvl w:ilvl="6" w:tplc="8344665E" w:tentative="1">
      <w:start w:val="1"/>
      <w:numFmt w:val="bullet"/>
      <w:lvlText w:val="•"/>
      <w:lvlJc w:val="left"/>
      <w:pPr>
        <w:tabs>
          <w:tab w:val="num" w:pos="5040"/>
        </w:tabs>
        <w:ind w:left="5040" w:hanging="360"/>
      </w:pPr>
      <w:rPr>
        <w:rFonts w:ascii="Arial" w:hAnsi="Arial" w:hint="default"/>
      </w:rPr>
    </w:lvl>
    <w:lvl w:ilvl="7" w:tplc="95962C40" w:tentative="1">
      <w:start w:val="1"/>
      <w:numFmt w:val="bullet"/>
      <w:lvlText w:val="•"/>
      <w:lvlJc w:val="left"/>
      <w:pPr>
        <w:tabs>
          <w:tab w:val="num" w:pos="5760"/>
        </w:tabs>
        <w:ind w:left="5760" w:hanging="360"/>
      </w:pPr>
      <w:rPr>
        <w:rFonts w:ascii="Arial" w:hAnsi="Arial" w:hint="default"/>
      </w:rPr>
    </w:lvl>
    <w:lvl w:ilvl="8" w:tplc="E730E1C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9BE387A"/>
    <w:multiLevelType w:val="hybridMultilevel"/>
    <w:tmpl w:val="EAFEB35A"/>
    <w:lvl w:ilvl="0" w:tplc="FFFFFFFF">
      <w:start w:val="1"/>
      <w:numFmt w:val="decimal"/>
      <w:pStyle w:val="NumberedlistHTA"/>
      <w:lvlText w:val="%1."/>
      <w:lvlJc w:val="left"/>
      <w:pPr>
        <w:ind w:left="4046" w:hanging="360"/>
      </w:pPr>
      <w:rPr>
        <w:b w:val="0"/>
        <w:bCs/>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7B7952"/>
    <w:multiLevelType w:val="hybridMultilevel"/>
    <w:tmpl w:val="FF5866FA"/>
    <w:lvl w:ilvl="0" w:tplc="0F1E6B90">
      <w:start w:val="1"/>
      <w:numFmt w:val="bullet"/>
      <w:pStyle w:val="BulletedlistHT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6056957">
    <w:abstractNumId w:val="4"/>
  </w:num>
  <w:num w:numId="2" w16cid:durableId="443576001">
    <w:abstractNumId w:val="3"/>
  </w:num>
  <w:num w:numId="3" w16cid:durableId="2141259033">
    <w:abstractNumId w:val="0"/>
  </w:num>
  <w:num w:numId="4" w16cid:durableId="1571766221">
    <w:abstractNumId w:val="1"/>
  </w:num>
  <w:num w:numId="5" w16cid:durableId="32154775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3D3"/>
    <w:rsid w:val="0000098F"/>
    <w:rsid w:val="000009BC"/>
    <w:rsid w:val="0000106B"/>
    <w:rsid w:val="00001C58"/>
    <w:rsid w:val="000022EF"/>
    <w:rsid w:val="00002673"/>
    <w:rsid w:val="0000270F"/>
    <w:rsid w:val="000035AE"/>
    <w:rsid w:val="0000445A"/>
    <w:rsid w:val="000045D2"/>
    <w:rsid w:val="00005AD6"/>
    <w:rsid w:val="000072C9"/>
    <w:rsid w:val="000074C8"/>
    <w:rsid w:val="00007753"/>
    <w:rsid w:val="000078C3"/>
    <w:rsid w:val="00007C36"/>
    <w:rsid w:val="00010262"/>
    <w:rsid w:val="00010565"/>
    <w:rsid w:val="000105FB"/>
    <w:rsid w:val="00010C86"/>
    <w:rsid w:val="00010D4B"/>
    <w:rsid w:val="00010F73"/>
    <w:rsid w:val="000116C6"/>
    <w:rsid w:val="000129D9"/>
    <w:rsid w:val="00012BCB"/>
    <w:rsid w:val="000135E6"/>
    <w:rsid w:val="000139FA"/>
    <w:rsid w:val="00013DAD"/>
    <w:rsid w:val="0001496B"/>
    <w:rsid w:val="00014DE1"/>
    <w:rsid w:val="0001591A"/>
    <w:rsid w:val="000159B4"/>
    <w:rsid w:val="000159EB"/>
    <w:rsid w:val="0001616C"/>
    <w:rsid w:val="0001631D"/>
    <w:rsid w:val="00016B3E"/>
    <w:rsid w:val="00016C0B"/>
    <w:rsid w:val="00016EF0"/>
    <w:rsid w:val="00020261"/>
    <w:rsid w:val="00020DAC"/>
    <w:rsid w:val="00021226"/>
    <w:rsid w:val="000221E8"/>
    <w:rsid w:val="000221F0"/>
    <w:rsid w:val="00022A58"/>
    <w:rsid w:val="00022BF8"/>
    <w:rsid w:val="000235A7"/>
    <w:rsid w:val="00023E64"/>
    <w:rsid w:val="000241FF"/>
    <w:rsid w:val="00024ECA"/>
    <w:rsid w:val="0002787F"/>
    <w:rsid w:val="00027A9F"/>
    <w:rsid w:val="00028760"/>
    <w:rsid w:val="00030088"/>
    <w:rsid w:val="0003076A"/>
    <w:rsid w:val="000309F4"/>
    <w:rsid w:val="00032AFB"/>
    <w:rsid w:val="00032E30"/>
    <w:rsid w:val="00034526"/>
    <w:rsid w:val="00034767"/>
    <w:rsid w:val="00034DC5"/>
    <w:rsid w:val="00035EDB"/>
    <w:rsid w:val="00036BD0"/>
    <w:rsid w:val="00036EFE"/>
    <w:rsid w:val="00037273"/>
    <w:rsid w:val="00037A5E"/>
    <w:rsid w:val="0004348D"/>
    <w:rsid w:val="00043F4B"/>
    <w:rsid w:val="0004444E"/>
    <w:rsid w:val="00044774"/>
    <w:rsid w:val="00045058"/>
    <w:rsid w:val="0004540D"/>
    <w:rsid w:val="00045880"/>
    <w:rsid w:val="000475E4"/>
    <w:rsid w:val="0004773B"/>
    <w:rsid w:val="00047BA9"/>
    <w:rsid w:val="00047DA9"/>
    <w:rsid w:val="00047DDA"/>
    <w:rsid w:val="00047FAD"/>
    <w:rsid w:val="00050395"/>
    <w:rsid w:val="0005189C"/>
    <w:rsid w:val="00052B9E"/>
    <w:rsid w:val="00053083"/>
    <w:rsid w:val="00053E66"/>
    <w:rsid w:val="000552DE"/>
    <w:rsid w:val="000557E4"/>
    <w:rsid w:val="0005592C"/>
    <w:rsid w:val="00055A75"/>
    <w:rsid w:val="00055AAA"/>
    <w:rsid w:val="000568D3"/>
    <w:rsid w:val="000575EC"/>
    <w:rsid w:val="00057AE6"/>
    <w:rsid w:val="00057EBA"/>
    <w:rsid w:val="0006070D"/>
    <w:rsid w:val="0006265D"/>
    <w:rsid w:val="000629C5"/>
    <w:rsid w:val="00063924"/>
    <w:rsid w:val="00063B31"/>
    <w:rsid w:val="00063FB5"/>
    <w:rsid w:val="00064644"/>
    <w:rsid w:val="0006487D"/>
    <w:rsid w:val="00064A09"/>
    <w:rsid w:val="0006500B"/>
    <w:rsid w:val="00066BA0"/>
    <w:rsid w:val="00066F3A"/>
    <w:rsid w:val="0006735F"/>
    <w:rsid w:val="0006D98C"/>
    <w:rsid w:val="00071116"/>
    <w:rsid w:val="00071759"/>
    <w:rsid w:val="00071992"/>
    <w:rsid w:val="00071CA2"/>
    <w:rsid w:val="0007240E"/>
    <w:rsid w:val="00072568"/>
    <w:rsid w:val="00073490"/>
    <w:rsid w:val="00074CA6"/>
    <w:rsid w:val="00075296"/>
    <w:rsid w:val="000755E6"/>
    <w:rsid w:val="00075746"/>
    <w:rsid w:val="00075B40"/>
    <w:rsid w:val="00075D1F"/>
    <w:rsid w:val="00076E77"/>
    <w:rsid w:val="00076EFF"/>
    <w:rsid w:val="00080832"/>
    <w:rsid w:val="00081012"/>
    <w:rsid w:val="0008128D"/>
    <w:rsid w:val="0008182C"/>
    <w:rsid w:val="00081A3A"/>
    <w:rsid w:val="00081DF4"/>
    <w:rsid w:val="00082842"/>
    <w:rsid w:val="00082B77"/>
    <w:rsid w:val="000837C0"/>
    <w:rsid w:val="00083ADA"/>
    <w:rsid w:val="000840AD"/>
    <w:rsid w:val="000850D2"/>
    <w:rsid w:val="000855DC"/>
    <w:rsid w:val="0008572D"/>
    <w:rsid w:val="00085C82"/>
    <w:rsid w:val="00086E53"/>
    <w:rsid w:val="00086E9C"/>
    <w:rsid w:val="00087873"/>
    <w:rsid w:val="00087AB4"/>
    <w:rsid w:val="00087AF8"/>
    <w:rsid w:val="00090DBE"/>
    <w:rsid w:val="00091F46"/>
    <w:rsid w:val="000932D2"/>
    <w:rsid w:val="00093423"/>
    <w:rsid w:val="00093E5E"/>
    <w:rsid w:val="00093E77"/>
    <w:rsid w:val="00093EF1"/>
    <w:rsid w:val="00094085"/>
    <w:rsid w:val="00094AD7"/>
    <w:rsid w:val="00094C77"/>
    <w:rsid w:val="00095103"/>
    <w:rsid w:val="00095607"/>
    <w:rsid w:val="00096E2C"/>
    <w:rsid w:val="0009704E"/>
    <w:rsid w:val="000973F5"/>
    <w:rsid w:val="0009769A"/>
    <w:rsid w:val="00097FF1"/>
    <w:rsid w:val="000A0768"/>
    <w:rsid w:val="000A1335"/>
    <w:rsid w:val="000A186F"/>
    <w:rsid w:val="000A19DD"/>
    <w:rsid w:val="000A23A8"/>
    <w:rsid w:val="000A24FC"/>
    <w:rsid w:val="000A2722"/>
    <w:rsid w:val="000A2EAF"/>
    <w:rsid w:val="000A318D"/>
    <w:rsid w:val="000A4139"/>
    <w:rsid w:val="000A4328"/>
    <w:rsid w:val="000A5015"/>
    <w:rsid w:val="000A5F18"/>
    <w:rsid w:val="000A68CF"/>
    <w:rsid w:val="000B01A9"/>
    <w:rsid w:val="000B09D6"/>
    <w:rsid w:val="000B2B26"/>
    <w:rsid w:val="000B2F17"/>
    <w:rsid w:val="000B3065"/>
    <w:rsid w:val="000B3548"/>
    <w:rsid w:val="000B4225"/>
    <w:rsid w:val="000B44F2"/>
    <w:rsid w:val="000B51B0"/>
    <w:rsid w:val="000B5DC4"/>
    <w:rsid w:val="000B6A4E"/>
    <w:rsid w:val="000B7512"/>
    <w:rsid w:val="000B7BB9"/>
    <w:rsid w:val="000C0368"/>
    <w:rsid w:val="000C06EB"/>
    <w:rsid w:val="000C08FE"/>
    <w:rsid w:val="000C0FBE"/>
    <w:rsid w:val="000C1101"/>
    <w:rsid w:val="000C1FA5"/>
    <w:rsid w:val="000C282E"/>
    <w:rsid w:val="000C2D28"/>
    <w:rsid w:val="000C4017"/>
    <w:rsid w:val="000C46C8"/>
    <w:rsid w:val="000C4FA5"/>
    <w:rsid w:val="000C5071"/>
    <w:rsid w:val="000C5581"/>
    <w:rsid w:val="000C58F1"/>
    <w:rsid w:val="000C60C4"/>
    <w:rsid w:val="000C6E8E"/>
    <w:rsid w:val="000C729D"/>
    <w:rsid w:val="000C7E96"/>
    <w:rsid w:val="000D21E6"/>
    <w:rsid w:val="000D26F0"/>
    <w:rsid w:val="000D2A46"/>
    <w:rsid w:val="000D2F35"/>
    <w:rsid w:val="000D385E"/>
    <w:rsid w:val="000D4196"/>
    <w:rsid w:val="000D464C"/>
    <w:rsid w:val="000D53C2"/>
    <w:rsid w:val="000D62FD"/>
    <w:rsid w:val="000D6409"/>
    <w:rsid w:val="000D65A4"/>
    <w:rsid w:val="000D6644"/>
    <w:rsid w:val="000D6972"/>
    <w:rsid w:val="000D7AE2"/>
    <w:rsid w:val="000DF392"/>
    <w:rsid w:val="000E02B9"/>
    <w:rsid w:val="000E0956"/>
    <w:rsid w:val="000E1206"/>
    <w:rsid w:val="000E1745"/>
    <w:rsid w:val="000E24F0"/>
    <w:rsid w:val="000E378D"/>
    <w:rsid w:val="000E5869"/>
    <w:rsid w:val="000E5957"/>
    <w:rsid w:val="000E5CFB"/>
    <w:rsid w:val="000E70B0"/>
    <w:rsid w:val="000E7DD4"/>
    <w:rsid w:val="000F0483"/>
    <w:rsid w:val="000F05CF"/>
    <w:rsid w:val="000F0E39"/>
    <w:rsid w:val="000F0E5D"/>
    <w:rsid w:val="000F12B5"/>
    <w:rsid w:val="000F2F33"/>
    <w:rsid w:val="000F33AB"/>
    <w:rsid w:val="000F3454"/>
    <w:rsid w:val="000F3D63"/>
    <w:rsid w:val="000F41F7"/>
    <w:rsid w:val="000F5781"/>
    <w:rsid w:val="000F5ABE"/>
    <w:rsid w:val="000F7D92"/>
    <w:rsid w:val="00100457"/>
    <w:rsid w:val="0010063E"/>
    <w:rsid w:val="00100FD1"/>
    <w:rsid w:val="00101C4B"/>
    <w:rsid w:val="00102A81"/>
    <w:rsid w:val="0010300D"/>
    <w:rsid w:val="001030D9"/>
    <w:rsid w:val="0010313F"/>
    <w:rsid w:val="00103346"/>
    <w:rsid w:val="001036E8"/>
    <w:rsid w:val="00103B17"/>
    <w:rsid w:val="001044D8"/>
    <w:rsid w:val="00104633"/>
    <w:rsid w:val="00104E93"/>
    <w:rsid w:val="00105205"/>
    <w:rsid w:val="00106EA7"/>
    <w:rsid w:val="00107625"/>
    <w:rsid w:val="00107BC4"/>
    <w:rsid w:val="00107D12"/>
    <w:rsid w:val="00107FB3"/>
    <w:rsid w:val="0010A3D0"/>
    <w:rsid w:val="001100A7"/>
    <w:rsid w:val="001103C1"/>
    <w:rsid w:val="00110DCF"/>
    <w:rsid w:val="00111921"/>
    <w:rsid w:val="00111A9A"/>
    <w:rsid w:val="00111DEA"/>
    <w:rsid w:val="001121D2"/>
    <w:rsid w:val="001128AA"/>
    <w:rsid w:val="00112CCA"/>
    <w:rsid w:val="001141A7"/>
    <w:rsid w:val="00114BD7"/>
    <w:rsid w:val="0011510C"/>
    <w:rsid w:val="00116A8A"/>
    <w:rsid w:val="00117458"/>
    <w:rsid w:val="00117CC5"/>
    <w:rsid w:val="00120E5B"/>
    <w:rsid w:val="001211E0"/>
    <w:rsid w:val="001215E6"/>
    <w:rsid w:val="0012234C"/>
    <w:rsid w:val="001229BE"/>
    <w:rsid w:val="00123AD3"/>
    <w:rsid w:val="00123DBF"/>
    <w:rsid w:val="00123F9F"/>
    <w:rsid w:val="00124302"/>
    <w:rsid w:val="0012487C"/>
    <w:rsid w:val="00125330"/>
    <w:rsid w:val="00125BD6"/>
    <w:rsid w:val="00125CA7"/>
    <w:rsid w:val="001265E8"/>
    <w:rsid w:val="00126687"/>
    <w:rsid w:val="00126AB9"/>
    <w:rsid w:val="00127A75"/>
    <w:rsid w:val="00127FF3"/>
    <w:rsid w:val="001305CE"/>
    <w:rsid w:val="00130966"/>
    <w:rsid w:val="001310E3"/>
    <w:rsid w:val="00132097"/>
    <w:rsid w:val="00133B30"/>
    <w:rsid w:val="00133ED3"/>
    <w:rsid w:val="00134AC9"/>
    <w:rsid w:val="001353B6"/>
    <w:rsid w:val="00135539"/>
    <w:rsid w:val="00135DB0"/>
    <w:rsid w:val="0013690C"/>
    <w:rsid w:val="001369FA"/>
    <w:rsid w:val="00137210"/>
    <w:rsid w:val="00137398"/>
    <w:rsid w:val="00137538"/>
    <w:rsid w:val="00137A1E"/>
    <w:rsid w:val="00140332"/>
    <w:rsid w:val="00140C12"/>
    <w:rsid w:val="001414E6"/>
    <w:rsid w:val="00141DBD"/>
    <w:rsid w:val="001420B5"/>
    <w:rsid w:val="00142141"/>
    <w:rsid w:val="001422BA"/>
    <w:rsid w:val="0014268B"/>
    <w:rsid w:val="00142FBA"/>
    <w:rsid w:val="00143945"/>
    <w:rsid w:val="00143F51"/>
    <w:rsid w:val="00144B97"/>
    <w:rsid w:val="00144DA4"/>
    <w:rsid w:val="00145122"/>
    <w:rsid w:val="00146449"/>
    <w:rsid w:val="001479A6"/>
    <w:rsid w:val="00147B36"/>
    <w:rsid w:val="00150CDD"/>
    <w:rsid w:val="00150E74"/>
    <w:rsid w:val="00151235"/>
    <w:rsid w:val="00151852"/>
    <w:rsid w:val="00152E54"/>
    <w:rsid w:val="001533B9"/>
    <w:rsid w:val="001549F8"/>
    <w:rsid w:val="00154FC2"/>
    <w:rsid w:val="00155D01"/>
    <w:rsid w:val="00156756"/>
    <w:rsid w:val="00156836"/>
    <w:rsid w:val="00156843"/>
    <w:rsid w:val="00157469"/>
    <w:rsid w:val="001577EE"/>
    <w:rsid w:val="00157A4B"/>
    <w:rsid w:val="00157C4D"/>
    <w:rsid w:val="00157E62"/>
    <w:rsid w:val="001616FC"/>
    <w:rsid w:val="00161CB3"/>
    <w:rsid w:val="001630FF"/>
    <w:rsid w:val="0016346D"/>
    <w:rsid w:val="00163597"/>
    <w:rsid w:val="00163671"/>
    <w:rsid w:val="00164458"/>
    <w:rsid w:val="00164779"/>
    <w:rsid w:val="00164A0E"/>
    <w:rsid w:val="00164E62"/>
    <w:rsid w:val="001653CC"/>
    <w:rsid w:val="001653DD"/>
    <w:rsid w:val="001657C5"/>
    <w:rsid w:val="00165867"/>
    <w:rsid w:val="001658E3"/>
    <w:rsid w:val="00165DB0"/>
    <w:rsid w:val="00165F6D"/>
    <w:rsid w:val="00165FE1"/>
    <w:rsid w:val="00166CED"/>
    <w:rsid w:val="00166ED6"/>
    <w:rsid w:val="00167791"/>
    <w:rsid w:val="001677EE"/>
    <w:rsid w:val="00167887"/>
    <w:rsid w:val="00167F29"/>
    <w:rsid w:val="00170015"/>
    <w:rsid w:val="00170074"/>
    <w:rsid w:val="001700BF"/>
    <w:rsid w:val="00170180"/>
    <w:rsid w:val="001716CC"/>
    <w:rsid w:val="001717A5"/>
    <w:rsid w:val="001728F3"/>
    <w:rsid w:val="00172D09"/>
    <w:rsid w:val="0017330E"/>
    <w:rsid w:val="001733A9"/>
    <w:rsid w:val="001738A1"/>
    <w:rsid w:val="001748D5"/>
    <w:rsid w:val="0017495B"/>
    <w:rsid w:val="00174E81"/>
    <w:rsid w:val="00175020"/>
    <w:rsid w:val="0017502C"/>
    <w:rsid w:val="00175038"/>
    <w:rsid w:val="001751C1"/>
    <w:rsid w:val="001753DB"/>
    <w:rsid w:val="00175970"/>
    <w:rsid w:val="00175D75"/>
    <w:rsid w:val="00175F57"/>
    <w:rsid w:val="00175F9C"/>
    <w:rsid w:val="00176B87"/>
    <w:rsid w:val="00177FB5"/>
    <w:rsid w:val="00180460"/>
    <w:rsid w:val="001806E4"/>
    <w:rsid w:val="00180D5B"/>
    <w:rsid w:val="0018226B"/>
    <w:rsid w:val="001826AF"/>
    <w:rsid w:val="00182AAA"/>
    <w:rsid w:val="001830C2"/>
    <w:rsid w:val="00183D0B"/>
    <w:rsid w:val="001842C7"/>
    <w:rsid w:val="001851B2"/>
    <w:rsid w:val="0018563B"/>
    <w:rsid w:val="00185C80"/>
    <w:rsid w:val="001874BE"/>
    <w:rsid w:val="001875C2"/>
    <w:rsid w:val="00187922"/>
    <w:rsid w:val="00187E67"/>
    <w:rsid w:val="00187EA6"/>
    <w:rsid w:val="00190715"/>
    <w:rsid w:val="00191774"/>
    <w:rsid w:val="001924F8"/>
    <w:rsid w:val="0019304B"/>
    <w:rsid w:val="00193B47"/>
    <w:rsid w:val="00194321"/>
    <w:rsid w:val="0019497C"/>
    <w:rsid w:val="00194DC8"/>
    <w:rsid w:val="001969EE"/>
    <w:rsid w:val="00196F9D"/>
    <w:rsid w:val="001A0014"/>
    <w:rsid w:val="001A011A"/>
    <w:rsid w:val="001A13B1"/>
    <w:rsid w:val="001A2034"/>
    <w:rsid w:val="001A2D11"/>
    <w:rsid w:val="001A325A"/>
    <w:rsid w:val="001A32B7"/>
    <w:rsid w:val="001A3D9F"/>
    <w:rsid w:val="001A4580"/>
    <w:rsid w:val="001A484A"/>
    <w:rsid w:val="001A4CF3"/>
    <w:rsid w:val="001A4DF4"/>
    <w:rsid w:val="001A509B"/>
    <w:rsid w:val="001A6C15"/>
    <w:rsid w:val="001B0587"/>
    <w:rsid w:val="001B0AFE"/>
    <w:rsid w:val="001B11A8"/>
    <w:rsid w:val="001B152D"/>
    <w:rsid w:val="001B1C43"/>
    <w:rsid w:val="001B2CF1"/>
    <w:rsid w:val="001B3B6C"/>
    <w:rsid w:val="001B471A"/>
    <w:rsid w:val="001B51AD"/>
    <w:rsid w:val="001B5FB5"/>
    <w:rsid w:val="001B5FD7"/>
    <w:rsid w:val="001B6300"/>
    <w:rsid w:val="001B67A2"/>
    <w:rsid w:val="001B75E5"/>
    <w:rsid w:val="001C0251"/>
    <w:rsid w:val="001C0587"/>
    <w:rsid w:val="001C164C"/>
    <w:rsid w:val="001C208E"/>
    <w:rsid w:val="001C2171"/>
    <w:rsid w:val="001C293C"/>
    <w:rsid w:val="001C2DC9"/>
    <w:rsid w:val="001C39CC"/>
    <w:rsid w:val="001C3CDD"/>
    <w:rsid w:val="001C6A5F"/>
    <w:rsid w:val="001C6B41"/>
    <w:rsid w:val="001C7253"/>
    <w:rsid w:val="001D068C"/>
    <w:rsid w:val="001D0746"/>
    <w:rsid w:val="001D0827"/>
    <w:rsid w:val="001D16F5"/>
    <w:rsid w:val="001D20E6"/>
    <w:rsid w:val="001D2A27"/>
    <w:rsid w:val="001D32B1"/>
    <w:rsid w:val="001D3A0B"/>
    <w:rsid w:val="001D3CEE"/>
    <w:rsid w:val="001D443D"/>
    <w:rsid w:val="001D70B4"/>
    <w:rsid w:val="001D73FC"/>
    <w:rsid w:val="001D7555"/>
    <w:rsid w:val="001D76BF"/>
    <w:rsid w:val="001E0069"/>
    <w:rsid w:val="001E0DE7"/>
    <w:rsid w:val="001E1C5B"/>
    <w:rsid w:val="001E2CE8"/>
    <w:rsid w:val="001E3261"/>
    <w:rsid w:val="001E3602"/>
    <w:rsid w:val="001E4067"/>
    <w:rsid w:val="001E439B"/>
    <w:rsid w:val="001E4617"/>
    <w:rsid w:val="001E5C2F"/>
    <w:rsid w:val="001E60AF"/>
    <w:rsid w:val="001E6DAF"/>
    <w:rsid w:val="001E78ED"/>
    <w:rsid w:val="001E7F9D"/>
    <w:rsid w:val="001E7FCD"/>
    <w:rsid w:val="001F0632"/>
    <w:rsid w:val="001F0D0F"/>
    <w:rsid w:val="001F15BC"/>
    <w:rsid w:val="001F1876"/>
    <w:rsid w:val="001F1987"/>
    <w:rsid w:val="001F1C18"/>
    <w:rsid w:val="001F1CBC"/>
    <w:rsid w:val="001F1E52"/>
    <w:rsid w:val="001F2D74"/>
    <w:rsid w:val="001F300A"/>
    <w:rsid w:val="001F3A7F"/>
    <w:rsid w:val="001F4FEA"/>
    <w:rsid w:val="002003BF"/>
    <w:rsid w:val="00200B45"/>
    <w:rsid w:val="00200E43"/>
    <w:rsid w:val="00201B48"/>
    <w:rsid w:val="00201EC4"/>
    <w:rsid w:val="00203040"/>
    <w:rsid w:val="00203236"/>
    <w:rsid w:val="002038FB"/>
    <w:rsid w:val="00203949"/>
    <w:rsid w:val="0020563D"/>
    <w:rsid w:val="002056F2"/>
    <w:rsid w:val="00205973"/>
    <w:rsid w:val="0020612E"/>
    <w:rsid w:val="002062B8"/>
    <w:rsid w:val="00206479"/>
    <w:rsid w:val="002071B8"/>
    <w:rsid w:val="00207FE0"/>
    <w:rsid w:val="002105E5"/>
    <w:rsid w:val="00210A26"/>
    <w:rsid w:val="00210AA8"/>
    <w:rsid w:val="00211628"/>
    <w:rsid w:val="002117C8"/>
    <w:rsid w:val="00211BA7"/>
    <w:rsid w:val="0021239F"/>
    <w:rsid w:val="002124EA"/>
    <w:rsid w:val="0021278D"/>
    <w:rsid w:val="00212CC4"/>
    <w:rsid w:val="00212ED1"/>
    <w:rsid w:val="002134AB"/>
    <w:rsid w:val="00214483"/>
    <w:rsid w:val="002145A9"/>
    <w:rsid w:val="00214B51"/>
    <w:rsid w:val="00214D1C"/>
    <w:rsid w:val="00216460"/>
    <w:rsid w:val="00216495"/>
    <w:rsid w:val="00216ECC"/>
    <w:rsid w:val="00217180"/>
    <w:rsid w:val="0021794A"/>
    <w:rsid w:val="00220E7C"/>
    <w:rsid w:val="0022107B"/>
    <w:rsid w:val="00221253"/>
    <w:rsid w:val="00221ACE"/>
    <w:rsid w:val="00221C4E"/>
    <w:rsid w:val="00221EF1"/>
    <w:rsid w:val="00221FE2"/>
    <w:rsid w:val="002221AB"/>
    <w:rsid w:val="00222E61"/>
    <w:rsid w:val="00222F74"/>
    <w:rsid w:val="002231BF"/>
    <w:rsid w:val="002236BD"/>
    <w:rsid w:val="00223C54"/>
    <w:rsid w:val="00223EFC"/>
    <w:rsid w:val="002249FE"/>
    <w:rsid w:val="00224D2B"/>
    <w:rsid w:val="00225160"/>
    <w:rsid w:val="002259F4"/>
    <w:rsid w:val="00225A5C"/>
    <w:rsid w:val="002260C6"/>
    <w:rsid w:val="00226CE4"/>
    <w:rsid w:val="00227A55"/>
    <w:rsid w:val="00227F10"/>
    <w:rsid w:val="00227F4A"/>
    <w:rsid w:val="00230112"/>
    <w:rsid w:val="00230329"/>
    <w:rsid w:val="0023040F"/>
    <w:rsid w:val="00230A9E"/>
    <w:rsid w:val="002310C0"/>
    <w:rsid w:val="0023193C"/>
    <w:rsid w:val="002322A6"/>
    <w:rsid w:val="002328D6"/>
    <w:rsid w:val="00232993"/>
    <w:rsid w:val="002329C2"/>
    <w:rsid w:val="00233D88"/>
    <w:rsid w:val="002344B6"/>
    <w:rsid w:val="0023488B"/>
    <w:rsid w:val="0023516D"/>
    <w:rsid w:val="00235AB0"/>
    <w:rsid w:val="0023684A"/>
    <w:rsid w:val="002374A0"/>
    <w:rsid w:val="0023758D"/>
    <w:rsid w:val="002375CC"/>
    <w:rsid w:val="00237A4F"/>
    <w:rsid w:val="00240072"/>
    <w:rsid w:val="0024015D"/>
    <w:rsid w:val="00240225"/>
    <w:rsid w:val="00240627"/>
    <w:rsid w:val="00240668"/>
    <w:rsid w:val="00240DA2"/>
    <w:rsid w:val="002411AD"/>
    <w:rsid w:val="002414F6"/>
    <w:rsid w:val="00241F50"/>
    <w:rsid w:val="002422F3"/>
    <w:rsid w:val="002437F1"/>
    <w:rsid w:val="00244097"/>
    <w:rsid w:val="002458D7"/>
    <w:rsid w:val="002459DF"/>
    <w:rsid w:val="002466A3"/>
    <w:rsid w:val="00246926"/>
    <w:rsid w:val="00246A53"/>
    <w:rsid w:val="00246D03"/>
    <w:rsid w:val="00247FAB"/>
    <w:rsid w:val="0025011B"/>
    <w:rsid w:val="0025075F"/>
    <w:rsid w:val="002527A1"/>
    <w:rsid w:val="00252F24"/>
    <w:rsid w:val="00253040"/>
    <w:rsid w:val="0025345E"/>
    <w:rsid w:val="002539EE"/>
    <w:rsid w:val="00253C34"/>
    <w:rsid w:val="00253F36"/>
    <w:rsid w:val="00254A9B"/>
    <w:rsid w:val="00254AC4"/>
    <w:rsid w:val="00254C91"/>
    <w:rsid w:val="002550FF"/>
    <w:rsid w:val="0025596B"/>
    <w:rsid w:val="00255BBA"/>
    <w:rsid w:val="00255BCA"/>
    <w:rsid w:val="00257378"/>
    <w:rsid w:val="00257890"/>
    <w:rsid w:val="00257FAC"/>
    <w:rsid w:val="002604AC"/>
    <w:rsid w:val="00260994"/>
    <w:rsid w:val="00260D53"/>
    <w:rsid w:val="002616ED"/>
    <w:rsid w:val="00261E70"/>
    <w:rsid w:val="002622DA"/>
    <w:rsid w:val="002625C6"/>
    <w:rsid w:val="00262D05"/>
    <w:rsid w:val="00263076"/>
    <w:rsid w:val="002635E0"/>
    <w:rsid w:val="00263AD0"/>
    <w:rsid w:val="00263B72"/>
    <w:rsid w:val="00263EDD"/>
    <w:rsid w:val="00264ED8"/>
    <w:rsid w:val="00264FAD"/>
    <w:rsid w:val="002650DB"/>
    <w:rsid w:val="0026607D"/>
    <w:rsid w:val="002663AB"/>
    <w:rsid w:val="00266694"/>
    <w:rsid w:val="0026726D"/>
    <w:rsid w:val="00267F7B"/>
    <w:rsid w:val="00270DEA"/>
    <w:rsid w:val="00271CB3"/>
    <w:rsid w:val="002721EB"/>
    <w:rsid w:val="002725C1"/>
    <w:rsid w:val="00272C29"/>
    <w:rsid w:val="00273C9D"/>
    <w:rsid w:val="00274654"/>
    <w:rsid w:val="002748A8"/>
    <w:rsid w:val="00275895"/>
    <w:rsid w:val="002758D3"/>
    <w:rsid w:val="00275970"/>
    <w:rsid w:val="00276342"/>
    <w:rsid w:val="00276973"/>
    <w:rsid w:val="002770FB"/>
    <w:rsid w:val="0027764C"/>
    <w:rsid w:val="00277854"/>
    <w:rsid w:val="00280645"/>
    <w:rsid w:val="0028071D"/>
    <w:rsid w:val="00282332"/>
    <w:rsid w:val="00282348"/>
    <w:rsid w:val="00282398"/>
    <w:rsid w:val="002827E4"/>
    <w:rsid w:val="00283857"/>
    <w:rsid w:val="00283B9C"/>
    <w:rsid w:val="00284395"/>
    <w:rsid w:val="002854C0"/>
    <w:rsid w:val="0028554C"/>
    <w:rsid w:val="00286B1D"/>
    <w:rsid w:val="00287276"/>
    <w:rsid w:val="002872D3"/>
    <w:rsid w:val="00287B70"/>
    <w:rsid w:val="00290257"/>
    <w:rsid w:val="0029161C"/>
    <w:rsid w:val="002916AC"/>
    <w:rsid w:val="00291F47"/>
    <w:rsid w:val="00293150"/>
    <w:rsid w:val="002935FB"/>
    <w:rsid w:val="00293692"/>
    <w:rsid w:val="00293F51"/>
    <w:rsid w:val="002945F3"/>
    <w:rsid w:val="00294AC4"/>
    <w:rsid w:val="00294B0F"/>
    <w:rsid w:val="002952D0"/>
    <w:rsid w:val="00295734"/>
    <w:rsid w:val="002958AE"/>
    <w:rsid w:val="00296015"/>
    <w:rsid w:val="00296A4C"/>
    <w:rsid w:val="00296BFA"/>
    <w:rsid w:val="0029722B"/>
    <w:rsid w:val="002A17B6"/>
    <w:rsid w:val="002A2552"/>
    <w:rsid w:val="002A304E"/>
    <w:rsid w:val="002A3369"/>
    <w:rsid w:val="002A38E3"/>
    <w:rsid w:val="002A4AF2"/>
    <w:rsid w:val="002A5131"/>
    <w:rsid w:val="002A5818"/>
    <w:rsid w:val="002A6272"/>
    <w:rsid w:val="002A635F"/>
    <w:rsid w:val="002A6FC6"/>
    <w:rsid w:val="002A7157"/>
    <w:rsid w:val="002A728E"/>
    <w:rsid w:val="002A7964"/>
    <w:rsid w:val="002A7C22"/>
    <w:rsid w:val="002B00E4"/>
    <w:rsid w:val="002B045C"/>
    <w:rsid w:val="002B19A8"/>
    <w:rsid w:val="002B1C60"/>
    <w:rsid w:val="002B1ED1"/>
    <w:rsid w:val="002B1F60"/>
    <w:rsid w:val="002B20E2"/>
    <w:rsid w:val="002B25F6"/>
    <w:rsid w:val="002B355B"/>
    <w:rsid w:val="002B42BB"/>
    <w:rsid w:val="002B4DCB"/>
    <w:rsid w:val="002B5483"/>
    <w:rsid w:val="002B5A4E"/>
    <w:rsid w:val="002B69C6"/>
    <w:rsid w:val="002B6E64"/>
    <w:rsid w:val="002B6FB1"/>
    <w:rsid w:val="002B71A9"/>
    <w:rsid w:val="002B7628"/>
    <w:rsid w:val="002B7B9D"/>
    <w:rsid w:val="002C044D"/>
    <w:rsid w:val="002C0E2A"/>
    <w:rsid w:val="002C0FC9"/>
    <w:rsid w:val="002C2132"/>
    <w:rsid w:val="002C24D8"/>
    <w:rsid w:val="002C31FB"/>
    <w:rsid w:val="002C35A2"/>
    <w:rsid w:val="002C3B25"/>
    <w:rsid w:val="002C4F44"/>
    <w:rsid w:val="002C51C2"/>
    <w:rsid w:val="002C6760"/>
    <w:rsid w:val="002C67D3"/>
    <w:rsid w:val="002C6B00"/>
    <w:rsid w:val="002C77DD"/>
    <w:rsid w:val="002D123B"/>
    <w:rsid w:val="002D1432"/>
    <w:rsid w:val="002D1E3D"/>
    <w:rsid w:val="002D26F7"/>
    <w:rsid w:val="002D2E3D"/>
    <w:rsid w:val="002D2F80"/>
    <w:rsid w:val="002D31B2"/>
    <w:rsid w:val="002D37D6"/>
    <w:rsid w:val="002D3BE4"/>
    <w:rsid w:val="002D402D"/>
    <w:rsid w:val="002D4C32"/>
    <w:rsid w:val="002D590F"/>
    <w:rsid w:val="002D5CE5"/>
    <w:rsid w:val="002D726E"/>
    <w:rsid w:val="002D7690"/>
    <w:rsid w:val="002D7AF6"/>
    <w:rsid w:val="002DC55F"/>
    <w:rsid w:val="002E087C"/>
    <w:rsid w:val="002E0AAC"/>
    <w:rsid w:val="002E12F7"/>
    <w:rsid w:val="002E1D1E"/>
    <w:rsid w:val="002E20B6"/>
    <w:rsid w:val="002E2847"/>
    <w:rsid w:val="002E3DCD"/>
    <w:rsid w:val="002E3E63"/>
    <w:rsid w:val="002E3FFD"/>
    <w:rsid w:val="002E422E"/>
    <w:rsid w:val="002E5C42"/>
    <w:rsid w:val="002E6180"/>
    <w:rsid w:val="002E7F7A"/>
    <w:rsid w:val="002F10DB"/>
    <w:rsid w:val="002F16B3"/>
    <w:rsid w:val="002F22DA"/>
    <w:rsid w:val="002F23CA"/>
    <w:rsid w:val="002F24A3"/>
    <w:rsid w:val="002F2E86"/>
    <w:rsid w:val="002F2FD5"/>
    <w:rsid w:val="002F3727"/>
    <w:rsid w:val="002F4216"/>
    <w:rsid w:val="002F440D"/>
    <w:rsid w:val="002F47D8"/>
    <w:rsid w:val="00300F05"/>
    <w:rsid w:val="0030157D"/>
    <w:rsid w:val="003019C6"/>
    <w:rsid w:val="00302554"/>
    <w:rsid w:val="0030268E"/>
    <w:rsid w:val="00302A75"/>
    <w:rsid w:val="00302BDF"/>
    <w:rsid w:val="00302D50"/>
    <w:rsid w:val="003031A4"/>
    <w:rsid w:val="003031B5"/>
    <w:rsid w:val="003040AA"/>
    <w:rsid w:val="003049EE"/>
    <w:rsid w:val="00304AF7"/>
    <w:rsid w:val="003051E5"/>
    <w:rsid w:val="0030653B"/>
    <w:rsid w:val="0030682D"/>
    <w:rsid w:val="003072A1"/>
    <w:rsid w:val="00307B74"/>
    <w:rsid w:val="003109FC"/>
    <w:rsid w:val="00310F9E"/>
    <w:rsid w:val="0031106C"/>
    <w:rsid w:val="0031173B"/>
    <w:rsid w:val="0031275D"/>
    <w:rsid w:val="00312FEB"/>
    <w:rsid w:val="00313491"/>
    <w:rsid w:val="00313509"/>
    <w:rsid w:val="00313870"/>
    <w:rsid w:val="0031399A"/>
    <w:rsid w:val="00313E94"/>
    <w:rsid w:val="00313ECC"/>
    <w:rsid w:val="00314637"/>
    <w:rsid w:val="0031619E"/>
    <w:rsid w:val="0031661B"/>
    <w:rsid w:val="00317E67"/>
    <w:rsid w:val="00320464"/>
    <w:rsid w:val="003204B2"/>
    <w:rsid w:val="003206E1"/>
    <w:rsid w:val="00320737"/>
    <w:rsid w:val="003211BE"/>
    <w:rsid w:val="003211D7"/>
    <w:rsid w:val="003212C5"/>
    <w:rsid w:val="00321C41"/>
    <w:rsid w:val="00321D7D"/>
    <w:rsid w:val="00321E37"/>
    <w:rsid w:val="00321E90"/>
    <w:rsid w:val="0032232C"/>
    <w:rsid w:val="003225C3"/>
    <w:rsid w:val="00322B8D"/>
    <w:rsid w:val="00322F84"/>
    <w:rsid w:val="003231A5"/>
    <w:rsid w:val="003232C0"/>
    <w:rsid w:val="003236E1"/>
    <w:rsid w:val="0032468F"/>
    <w:rsid w:val="00324ADE"/>
    <w:rsid w:val="00325526"/>
    <w:rsid w:val="00326A38"/>
    <w:rsid w:val="00327016"/>
    <w:rsid w:val="00327519"/>
    <w:rsid w:val="00327630"/>
    <w:rsid w:val="0032FDA8"/>
    <w:rsid w:val="003306D5"/>
    <w:rsid w:val="0033076E"/>
    <w:rsid w:val="0033095B"/>
    <w:rsid w:val="003312B9"/>
    <w:rsid w:val="00331741"/>
    <w:rsid w:val="00332588"/>
    <w:rsid w:val="003344B2"/>
    <w:rsid w:val="00335CB9"/>
    <w:rsid w:val="003369D5"/>
    <w:rsid w:val="00336A25"/>
    <w:rsid w:val="0033706E"/>
    <w:rsid w:val="0034010C"/>
    <w:rsid w:val="00340701"/>
    <w:rsid w:val="00340ACE"/>
    <w:rsid w:val="00340BF1"/>
    <w:rsid w:val="00340C60"/>
    <w:rsid w:val="00341970"/>
    <w:rsid w:val="00342B8C"/>
    <w:rsid w:val="00342BCF"/>
    <w:rsid w:val="00342D40"/>
    <w:rsid w:val="00342F1B"/>
    <w:rsid w:val="003447B0"/>
    <w:rsid w:val="00344B05"/>
    <w:rsid w:val="00344FDB"/>
    <w:rsid w:val="00345479"/>
    <w:rsid w:val="003456C7"/>
    <w:rsid w:val="00345D28"/>
    <w:rsid w:val="00346225"/>
    <w:rsid w:val="00346C52"/>
    <w:rsid w:val="0034777A"/>
    <w:rsid w:val="003478B4"/>
    <w:rsid w:val="00347F85"/>
    <w:rsid w:val="003487ED"/>
    <w:rsid w:val="003502AB"/>
    <w:rsid w:val="003509F1"/>
    <w:rsid w:val="00350C73"/>
    <w:rsid w:val="00351581"/>
    <w:rsid w:val="00351D24"/>
    <w:rsid w:val="003523B5"/>
    <w:rsid w:val="003528E8"/>
    <w:rsid w:val="00353051"/>
    <w:rsid w:val="00354281"/>
    <w:rsid w:val="00354930"/>
    <w:rsid w:val="00354E61"/>
    <w:rsid w:val="00355735"/>
    <w:rsid w:val="00355CC4"/>
    <w:rsid w:val="0035678C"/>
    <w:rsid w:val="00357469"/>
    <w:rsid w:val="00357FBB"/>
    <w:rsid w:val="00360560"/>
    <w:rsid w:val="00360CB5"/>
    <w:rsid w:val="0036112A"/>
    <w:rsid w:val="003614AD"/>
    <w:rsid w:val="00362815"/>
    <w:rsid w:val="003634BC"/>
    <w:rsid w:val="00363F1C"/>
    <w:rsid w:val="00364172"/>
    <w:rsid w:val="00365B87"/>
    <w:rsid w:val="00366695"/>
    <w:rsid w:val="003666E8"/>
    <w:rsid w:val="00366C34"/>
    <w:rsid w:val="00367DF4"/>
    <w:rsid w:val="003717A6"/>
    <w:rsid w:val="003717D2"/>
    <w:rsid w:val="00371B68"/>
    <w:rsid w:val="0037343E"/>
    <w:rsid w:val="00373F2A"/>
    <w:rsid w:val="00374381"/>
    <w:rsid w:val="00374C0B"/>
    <w:rsid w:val="00375087"/>
    <w:rsid w:val="003750F8"/>
    <w:rsid w:val="003757E8"/>
    <w:rsid w:val="00375CE6"/>
    <w:rsid w:val="003761B6"/>
    <w:rsid w:val="0037734C"/>
    <w:rsid w:val="00377F15"/>
    <w:rsid w:val="0037BACD"/>
    <w:rsid w:val="003802F6"/>
    <w:rsid w:val="00380342"/>
    <w:rsid w:val="003809C9"/>
    <w:rsid w:val="003814C5"/>
    <w:rsid w:val="00381A11"/>
    <w:rsid w:val="00381EF5"/>
    <w:rsid w:val="0038292F"/>
    <w:rsid w:val="00382E8D"/>
    <w:rsid w:val="00383FFC"/>
    <w:rsid w:val="0038426D"/>
    <w:rsid w:val="00384EB4"/>
    <w:rsid w:val="00385AD0"/>
    <w:rsid w:val="00385AFC"/>
    <w:rsid w:val="00385C4E"/>
    <w:rsid w:val="00385E93"/>
    <w:rsid w:val="00385EE2"/>
    <w:rsid w:val="00385FD2"/>
    <w:rsid w:val="00386383"/>
    <w:rsid w:val="003868C4"/>
    <w:rsid w:val="003869A2"/>
    <w:rsid w:val="00387271"/>
    <w:rsid w:val="0038768D"/>
    <w:rsid w:val="0038790B"/>
    <w:rsid w:val="0038C26F"/>
    <w:rsid w:val="00390D0B"/>
    <w:rsid w:val="00390D70"/>
    <w:rsid w:val="00390FBA"/>
    <w:rsid w:val="00391A75"/>
    <w:rsid w:val="00392499"/>
    <w:rsid w:val="003924BD"/>
    <w:rsid w:val="00392C31"/>
    <w:rsid w:val="003932EA"/>
    <w:rsid w:val="00393355"/>
    <w:rsid w:val="00393CBC"/>
    <w:rsid w:val="003944E5"/>
    <w:rsid w:val="003948AC"/>
    <w:rsid w:val="00394DFD"/>
    <w:rsid w:val="00395260"/>
    <w:rsid w:val="00395472"/>
    <w:rsid w:val="003956D5"/>
    <w:rsid w:val="00395AC2"/>
    <w:rsid w:val="00397287"/>
    <w:rsid w:val="003979F6"/>
    <w:rsid w:val="003A0155"/>
    <w:rsid w:val="003A0777"/>
    <w:rsid w:val="003A07AE"/>
    <w:rsid w:val="003A12F4"/>
    <w:rsid w:val="003A1A27"/>
    <w:rsid w:val="003A1B2F"/>
    <w:rsid w:val="003A1D02"/>
    <w:rsid w:val="003A1F59"/>
    <w:rsid w:val="003A1F9F"/>
    <w:rsid w:val="003A214A"/>
    <w:rsid w:val="003A23B4"/>
    <w:rsid w:val="003A243B"/>
    <w:rsid w:val="003A284E"/>
    <w:rsid w:val="003A2D0F"/>
    <w:rsid w:val="003A3359"/>
    <w:rsid w:val="003A4D8F"/>
    <w:rsid w:val="003A534B"/>
    <w:rsid w:val="003A595A"/>
    <w:rsid w:val="003A61C8"/>
    <w:rsid w:val="003A7413"/>
    <w:rsid w:val="003B032A"/>
    <w:rsid w:val="003B0417"/>
    <w:rsid w:val="003B0D0F"/>
    <w:rsid w:val="003B0EEB"/>
    <w:rsid w:val="003B1474"/>
    <w:rsid w:val="003B1570"/>
    <w:rsid w:val="003B197A"/>
    <w:rsid w:val="003B1E08"/>
    <w:rsid w:val="003B1E30"/>
    <w:rsid w:val="003B28E2"/>
    <w:rsid w:val="003B3EC9"/>
    <w:rsid w:val="003B3FCC"/>
    <w:rsid w:val="003B4851"/>
    <w:rsid w:val="003B636C"/>
    <w:rsid w:val="003B6A04"/>
    <w:rsid w:val="003B6E0B"/>
    <w:rsid w:val="003B6E4B"/>
    <w:rsid w:val="003B6E8C"/>
    <w:rsid w:val="003B7B85"/>
    <w:rsid w:val="003B7C37"/>
    <w:rsid w:val="003C01F3"/>
    <w:rsid w:val="003C06AD"/>
    <w:rsid w:val="003C08D3"/>
    <w:rsid w:val="003C1242"/>
    <w:rsid w:val="003C128D"/>
    <w:rsid w:val="003C1D9F"/>
    <w:rsid w:val="003C2499"/>
    <w:rsid w:val="003C25D7"/>
    <w:rsid w:val="003C2795"/>
    <w:rsid w:val="003C375E"/>
    <w:rsid w:val="003C3EAB"/>
    <w:rsid w:val="003C489D"/>
    <w:rsid w:val="003C4F87"/>
    <w:rsid w:val="003C59C3"/>
    <w:rsid w:val="003C66B0"/>
    <w:rsid w:val="003C6B55"/>
    <w:rsid w:val="003C7E14"/>
    <w:rsid w:val="003D0CD4"/>
    <w:rsid w:val="003D15C4"/>
    <w:rsid w:val="003D1904"/>
    <w:rsid w:val="003D3876"/>
    <w:rsid w:val="003D4884"/>
    <w:rsid w:val="003D49C2"/>
    <w:rsid w:val="003D4A90"/>
    <w:rsid w:val="003D4E51"/>
    <w:rsid w:val="003D71B2"/>
    <w:rsid w:val="003D7F75"/>
    <w:rsid w:val="003E1696"/>
    <w:rsid w:val="003E1FDF"/>
    <w:rsid w:val="003E21E5"/>
    <w:rsid w:val="003E23D0"/>
    <w:rsid w:val="003E2A5C"/>
    <w:rsid w:val="003E2AD5"/>
    <w:rsid w:val="003E2B31"/>
    <w:rsid w:val="003E3275"/>
    <w:rsid w:val="003E3493"/>
    <w:rsid w:val="003E4229"/>
    <w:rsid w:val="003E4BFD"/>
    <w:rsid w:val="003E50E8"/>
    <w:rsid w:val="003E5162"/>
    <w:rsid w:val="003E63A7"/>
    <w:rsid w:val="003E6B04"/>
    <w:rsid w:val="003E72E5"/>
    <w:rsid w:val="003E747F"/>
    <w:rsid w:val="003E774C"/>
    <w:rsid w:val="003E7D76"/>
    <w:rsid w:val="003F078C"/>
    <w:rsid w:val="003F0B5F"/>
    <w:rsid w:val="003F0D3A"/>
    <w:rsid w:val="003F0EF2"/>
    <w:rsid w:val="003F1A82"/>
    <w:rsid w:val="003F1CE9"/>
    <w:rsid w:val="003F20B1"/>
    <w:rsid w:val="003F253C"/>
    <w:rsid w:val="003F2C80"/>
    <w:rsid w:val="003F367E"/>
    <w:rsid w:val="003F52D3"/>
    <w:rsid w:val="003F5EAA"/>
    <w:rsid w:val="003F6606"/>
    <w:rsid w:val="003F6789"/>
    <w:rsid w:val="003F7520"/>
    <w:rsid w:val="003F7A4C"/>
    <w:rsid w:val="003F7E4A"/>
    <w:rsid w:val="003F7FA1"/>
    <w:rsid w:val="00400AAA"/>
    <w:rsid w:val="0040152A"/>
    <w:rsid w:val="0040174A"/>
    <w:rsid w:val="0040299B"/>
    <w:rsid w:val="00402AA5"/>
    <w:rsid w:val="00404958"/>
    <w:rsid w:val="0040516F"/>
    <w:rsid w:val="004055A1"/>
    <w:rsid w:val="00405A8B"/>
    <w:rsid w:val="00405FE2"/>
    <w:rsid w:val="00405FE6"/>
    <w:rsid w:val="00406901"/>
    <w:rsid w:val="00406E8A"/>
    <w:rsid w:val="00406F13"/>
    <w:rsid w:val="00407C58"/>
    <w:rsid w:val="004101F1"/>
    <w:rsid w:val="004102CB"/>
    <w:rsid w:val="00410523"/>
    <w:rsid w:val="0041199E"/>
    <w:rsid w:val="00411AA1"/>
    <w:rsid w:val="00411D93"/>
    <w:rsid w:val="00412157"/>
    <w:rsid w:val="0041248A"/>
    <w:rsid w:val="00412BF6"/>
    <w:rsid w:val="00413CA2"/>
    <w:rsid w:val="0041599C"/>
    <w:rsid w:val="00415C0C"/>
    <w:rsid w:val="00417453"/>
    <w:rsid w:val="00417931"/>
    <w:rsid w:val="00417A7F"/>
    <w:rsid w:val="00420DAA"/>
    <w:rsid w:val="004210C6"/>
    <w:rsid w:val="00421FB0"/>
    <w:rsid w:val="00421FEF"/>
    <w:rsid w:val="00424488"/>
    <w:rsid w:val="004249B6"/>
    <w:rsid w:val="00425AC1"/>
    <w:rsid w:val="00425D88"/>
    <w:rsid w:val="00425E66"/>
    <w:rsid w:val="00426E6A"/>
    <w:rsid w:val="00430870"/>
    <w:rsid w:val="004316FE"/>
    <w:rsid w:val="00431B70"/>
    <w:rsid w:val="00431C0F"/>
    <w:rsid w:val="00431DE8"/>
    <w:rsid w:val="00432124"/>
    <w:rsid w:val="00433FE6"/>
    <w:rsid w:val="00434595"/>
    <w:rsid w:val="00435055"/>
    <w:rsid w:val="004352CF"/>
    <w:rsid w:val="004353FB"/>
    <w:rsid w:val="00435A9F"/>
    <w:rsid w:val="0043616E"/>
    <w:rsid w:val="00436D2D"/>
    <w:rsid w:val="00436E17"/>
    <w:rsid w:val="00437BC8"/>
    <w:rsid w:val="00440EAF"/>
    <w:rsid w:val="0044264B"/>
    <w:rsid w:val="004429D1"/>
    <w:rsid w:val="00443398"/>
    <w:rsid w:val="00443A97"/>
    <w:rsid w:val="00444B52"/>
    <w:rsid w:val="00444BEB"/>
    <w:rsid w:val="00444EF7"/>
    <w:rsid w:val="00445074"/>
    <w:rsid w:val="00445761"/>
    <w:rsid w:val="00445CD0"/>
    <w:rsid w:val="00446BB1"/>
    <w:rsid w:val="00447794"/>
    <w:rsid w:val="00447CDF"/>
    <w:rsid w:val="0045013E"/>
    <w:rsid w:val="004505E4"/>
    <w:rsid w:val="0045094E"/>
    <w:rsid w:val="0045167F"/>
    <w:rsid w:val="004518E5"/>
    <w:rsid w:val="00452B04"/>
    <w:rsid w:val="00453165"/>
    <w:rsid w:val="00453B1E"/>
    <w:rsid w:val="00453E75"/>
    <w:rsid w:val="0045434C"/>
    <w:rsid w:val="00454B9F"/>
    <w:rsid w:val="00455825"/>
    <w:rsid w:val="004561F8"/>
    <w:rsid w:val="00456629"/>
    <w:rsid w:val="00456CE4"/>
    <w:rsid w:val="00457353"/>
    <w:rsid w:val="004573CF"/>
    <w:rsid w:val="004574DB"/>
    <w:rsid w:val="00457701"/>
    <w:rsid w:val="004578A4"/>
    <w:rsid w:val="00457F97"/>
    <w:rsid w:val="00460380"/>
    <w:rsid w:val="00460B2E"/>
    <w:rsid w:val="00461194"/>
    <w:rsid w:val="004611DE"/>
    <w:rsid w:val="00461262"/>
    <w:rsid w:val="00461AD3"/>
    <w:rsid w:val="0046223F"/>
    <w:rsid w:val="0046251B"/>
    <w:rsid w:val="004625F9"/>
    <w:rsid w:val="00462EFE"/>
    <w:rsid w:val="004630AE"/>
    <w:rsid w:val="004651F5"/>
    <w:rsid w:val="00465428"/>
    <w:rsid w:val="00465771"/>
    <w:rsid w:val="00465850"/>
    <w:rsid w:val="00465D70"/>
    <w:rsid w:val="00466825"/>
    <w:rsid w:val="00467210"/>
    <w:rsid w:val="004711A2"/>
    <w:rsid w:val="00471843"/>
    <w:rsid w:val="00473C68"/>
    <w:rsid w:val="00474453"/>
    <w:rsid w:val="00475327"/>
    <w:rsid w:val="004753F7"/>
    <w:rsid w:val="00476A98"/>
    <w:rsid w:val="00477215"/>
    <w:rsid w:val="00477AE7"/>
    <w:rsid w:val="0048089D"/>
    <w:rsid w:val="004809CD"/>
    <w:rsid w:val="00480BD2"/>
    <w:rsid w:val="0048129B"/>
    <w:rsid w:val="004823BA"/>
    <w:rsid w:val="00482743"/>
    <w:rsid w:val="0048333C"/>
    <w:rsid w:val="00483A35"/>
    <w:rsid w:val="0048412D"/>
    <w:rsid w:val="00485F7D"/>
    <w:rsid w:val="00486015"/>
    <w:rsid w:val="00487930"/>
    <w:rsid w:val="004907D2"/>
    <w:rsid w:val="004911AE"/>
    <w:rsid w:val="00491C4A"/>
    <w:rsid w:val="00491CB9"/>
    <w:rsid w:val="00491E87"/>
    <w:rsid w:val="00492414"/>
    <w:rsid w:val="0049261C"/>
    <w:rsid w:val="00492622"/>
    <w:rsid w:val="00492DE6"/>
    <w:rsid w:val="00493D9A"/>
    <w:rsid w:val="004946A2"/>
    <w:rsid w:val="0049494B"/>
    <w:rsid w:val="00494A9D"/>
    <w:rsid w:val="004957D4"/>
    <w:rsid w:val="00495BF2"/>
    <w:rsid w:val="0049640B"/>
    <w:rsid w:val="004965AD"/>
    <w:rsid w:val="00496987"/>
    <w:rsid w:val="00496C96"/>
    <w:rsid w:val="004972AB"/>
    <w:rsid w:val="00497359"/>
    <w:rsid w:val="004978AF"/>
    <w:rsid w:val="00497F7B"/>
    <w:rsid w:val="004A02CD"/>
    <w:rsid w:val="004A1137"/>
    <w:rsid w:val="004A11DC"/>
    <w:rsid w:val="004A1EAC"/>
    <w:rsid w:val="004A1FC8"/>
    <w:rsid w:val="004A303B"/>
    <w:rsid w:val="004A359A"/>
    <w:rsid w:val="004A38E1"/>
    <w:rsid w:val="004A41DA"/>
    <w:rsid w:val="004A491B"/>
    <w:rsid w:val="004A4A82"/>
    <w:rsid w:val="004A55D9"/>
    <w:rsid w:val="004A615F"/>
    <w:rsid w:val="004A6D5E"/>
    <w:rsid w:val="004A6EBA"/>
    <w:rsid w:val="004A7B4B"/>
    <w:rsid w:val="004A7C21"/>
    <w:rsid w:val="004B1EB9"/>
    <w:rsid w:val="004B2057"/>
    <w:rsid w:val="004B423E"/>
    <w:rsid w:val="004B4477"/>
    <w:rsid w:val="004B4800"/>
    <w:rsid w:val="004B49C0"/>
    <w:rsid w:val="004B4F1D"/>
    <w:rsid w:val="004B5D77"/>
    <w:rsid w:val="004B6A99"/>
    <w:rsid w:val="004B7163"/>
    <w:rsid w:val="004B72F7"/>
    <w:rsid w:val="004C039C"/>
    <w:rsid w:val="004C0B82"/>
    <w:rsid w:val="004C0C32"/>
    <w:rsid w:val="004C11A9"/>
    <w:rsid w:val="004C193A"/>
    <w:rsid w:val="004C1D39"/>
    <w:rsid w:val="004C2C56"/>
    <w:rsid w:val="004C2D9F"/>
    <w:rsid w:val="004C3A5C"/>
    <w:rsid w:val="004C3BF8"/>
    <w:rsid w:val="004C4AAF"/>
    <w:rsid w:val="004C550E"/>
    <w:rsid w:val="004C5B58"/>
    <w:rsid w:val="004C5F4F"/>
    <w:rsid w:val="004C6185"/>
    <w:rsid w:val="004C66EA"/>
    <w:rsid w:val="004C6734"/>
    <w:rsid w:val="004C6F60"/>
    <w:rsid w:val="004C7911"/>
    <w:rsid w:val="004D162C"/>
    <w:rsid w:val="004D1812"/>
    <w:rsid w:val="004D2E46"/>
    <w:rsid w:val="004D2F34"/>
    <w:rsid w:val="004D349E"/>
    <w:rsid w:val="004D453A"/>
    <w:rsid w:val="004D4A06"/>
    <w:rsid w:val="004D555E"/>
    <w:rsid w:val="004D65FC"/>
    <w:rsid w:val="004D74EE"/>
    <w:rsid w:val="004D7F9D"/>
    <w:rsid w:val="004D9C5F"/>
    <w:rsid w:val="004E07B9"/>
    <w:rsid w:val="004E17BC"/>
    <w:rsid w:val="004E1E08"/>
    <w:rsid w:val="004E20E4"/>
    <w:rsid w:val="004E2106"/>
    <w:rsid w:val="004E25D2"/>
    <w:rsid w:val="004E2780"/>
    <w:rsid w:val="004E48CE"/>
    <w:rsid w:val="004E4A12"/>
    <w:rsid w:val="004E4DA4"/>
    <w:rsid w:val="004E55B8"/>
    <w:rsid w:val="004E64E3"/>
    <w:rsid w:val="004E665C"/>
    <w:rsid w:val="004E712B"/>
    <w:rsid w:val="004F0942"/>
    <w:rsid w:val="004F0A75"/>
    <w:rsid w:val="004F14CF"/>
    <w:rsid w:val="004F23C9"/>
    <w:rsid w:val="004F2812"/>
    <w:rsid w:val="004F2FED"/>
    <w:rsid w:val="004F3B4C"/>
    <w:rsid w:val="004F41A3"/>
    <w:rsid w:val="004F4F2C"/>
    <w:rsid w:val="004F4FE7"/>
    <w:rsid w:val="004F5B87"/>
    <w:rsid w:val="004F635E"/>
    <w:rsid w:val="004F7437"/>
    <w:rsid w:val="005005FF"/>
    <w:rsid w:val="005008EB"/>
    <w:rsid w:val="00500BD5"/>
    <w:rsid w:val="00501471"/>
    <w:rsid w:val="00501697"/>
    <w:rsid w:val="00501C30"/>
    <w:rsid w:val="00501FAE"/>
    <w:rsid w:val="00502F3E"/>
    <w:rsid w:val="005032ED"/>
    <w:rsid w:val="00503396"/>
    <w:rsid w:val="00503712"/>
    <w:rsid w:val="00503C9A"/>
    <w:rsid w:val="00503E14"/>
    <w:rsid w:val="005042C3"/>
    <w:rsid w:val="005048EE"/>
    <w:rsid w:val="00506801"/>
    <w:rsid w:val="005079C4"/>
    <w:rsid w:val="0051053D"/>
    <w:rsid w:val="005115BD"/>
    <w:rsid w:val="00512CF7"/>
    <w:rsid w:val="00513963"/>
    <w:rsid w:val="00514D1B"/>
    <w:rsid w:val="00514DDF"/>
    <w:rsid w:val="00516169"/>
    <w:rsid w:val="005161D0"/>
    <w:rsid w:val="00516320"/>
    <w:rsid w:val="005166BA"/>
    <w:rsid w:val="00516DB6"/>
    <w:rsid w:val="00516E9E"/>
    <w:rsid w:val="0051734A"/>
    <w:rsid w:val="00517497"/>
    <w:rsid w:val="00517645"/>
    <w:rsid w:val="00517B8E"/>
    <w:rsid w:val="00517C21"/>
    <w:rsid w:val="00520382"/>
    <w:rsid w:val="00521696"/>
    <w:rsid w:val="00521FA3"/>
    <w:rsid w:val="005228D2"/>
    <w:rsid w:val="00522E6A"/>
    <w:rsid w:val="00522F67"/>
    <w:rsid w:val="00523882"/>
    <w:rsid w:val="0052394C"/>
    <w:rsid w:val="00523BA4"/>
    <w:rsid w:val="00523D5E"/>
    <w:rsid w:val="005247F3"/>
    <w:rsid w:val="00524EB3"/>
    <w:rsid w:val="005251BF"/>
    <w:rsid w:val="00525A05"/>
    <w:rsid w:val="00526B90"/>
    <w:rsid w:val="00526EE7"/>
    <w:rsid w:val="00527E28"/>
    <w:rsid w:val="00530178"/>
    <w:rsid w:val="0053060E"/>
    <w:rsid w:val="005309BD"/>
    <w:rsid w:val="00530ECF"/>
    <w:rsid w:val="0053155D"/>
    <w:rsid w:val="00531873"/>
    <w:rsid w:val="00531952"/>
    <w:rsid w:val="00531C93"/>
    <w:rsid w:val="00533156"/>
    <w:rsid w:val="005340E5"/>
    <w:rsid w:val="00534F25"/>
    <w:rsid w:val="00535295"/>
    <w:rsid w:val="00535BF3"/>
    <w:rsid w:val="005368F7"/>
    <w:rsid w:val="00536C28"/>
    <w:rsid w:val="00536D7B"/>
    <w:rsid w:val="00537538"/>
    <w:rsid w:val="005378FA"/>
    <w:rsid w:val="00538D53"/>
    <w:rsid w:val="0054118B"/>
    <w:rsid w:val="005417B8"/>
    <w:rsid w:val="00541839"/>
    <w:rsid w:val="0054186D"/>
    <w:rsid w:val="00542674"/>
    <w:rsid w:val="00542C55"/>
    <w:rsid w:val="00543AE7"/>
    <w:rsid w:val="005449E7"/>
    <w:rsid w:val="00544BC4"/>
    <w:rsid w:val="005457DF"/>
    <w:rsid w:val="00546129"/>
    <w:rsid w:val="005463AF"/>
    <w:rsid w:val="0054700C"/>
    <w:rsid w:val="0054733D"/>
    <w:rsid w:val="005474BC"/>
    <w:rsid w:val="005476BD"/>
    <w:rsid w:val="00547826"/>
    <w:rsid w:val="005501BB"/>
    <w:rsid w:val="005506AC"/>
    <w:rsid w:val="005514C7"/>
    <w:rsid w:val="00551B3A"/>
    <w:rsid w:val="00551B76"/>
    <w:rsid w:val="00551F7A"/>
    <w:rsid w:val="005528D9"/>
    <w:rsid w:val="00552DD7"/>
    <w:rsid w:val="0055365B"/>
    <w:rsid w:val="00553806"/>
    <w:rsid w:val="005539D8"/>
    <w:rsid w:val="0055418C"/>
    <w:rsid w:val="00554BA0"/>
    <w:rsid w:val="00554FE5"/>
    <w:rsid w:val="005551AB"/>
    <w:rsid w:val="00555F21"/>
    <w:rsid w:val="00556C45"/>
    <w:rsid w:val="00556CC6"/>
    <w:rsid w:val="00557214"/>
    <w:rsid w:val="0056033D"/>
    <w:rsid w:val="00561672"/>
    <w:rsid w:val="00561C49"/>
    <w:rsid w:val="00562365"/>
    <w:rsid w:val="00562ACB"/>
    <w:rsid w:val="0056350E"/>
    <w:rsid w:val="00563A1C"/>
    <w:rsid w:val="00563C19"/>
    <w:rsid w:val="00564240"/>
    <w:rsid w:val="00564EF6"/>
    <w:rsid w:val="00565080"/>
    <w:rsid w:val="005653F8"/>
    <w:rsid w:val="005672D6"/>
    <w:rsid w:val="00567BE4"/>
    <w:rsid w:val="00567CB7"/>
    <w:rsid w:val="00570B63"/>
    <w:rsid w:val="00571438"/>
    <w:rsid w:val="00571824"/>
    <w:rsid w:val="0057199F"/>
    <w:rsid w:val="00571BCE"/>
    <w:rsid w:val="00572989"/>
    <w:rsid w:val="00572D4D"/>
    <w:rsid w:val="00572E17"/>
    <w:rsid w:val="00572EAA"/>
    <w:rsid w:val="00573B73"/>
    <w:rsid w:val="00573DD8"/>
    <w:rsid w:val="005746E9"/>
    <w:rsid w:val="005750A9"/>
    <w:rsid w:val="00575A6F"/>
    <w:rsid w:val="00576EC0"/>
    <w:rsid w:val="00577725"/>
    <w:rsid w:val="00577E27"/>
    <w:rsid w:val="0058099E"/>
    <w:rsid w:val="00582439"/>
    <w:rsid w:val="00582580"/>
    <w:rsid w:val="00582FAC"/>
    <w:rsid w:val="00583433"/>
    <w:rsid w:val="005839D0"/>
    <w:rsid w:val="00583B75"/>
    <w:rsid w:val="00583F0A"/>
    <w:rsid w:val="0058508D"/>
    <w:rsid w:val="0058569C"/>
    <w:rsid w:val="00586094"/>
    <w:rsid w:val="005869BD"/>
    <w:rsid w:val="005872C6"/>
    <w:rsid w:val="00587AFA"/>
    <w:rsid w:val="00590129"/>
    <w:rsid w:val="005903C4"/>
    <w:rsid w:val="005910ED"/>
    <w:rsid w:val="0059223A"/>
    <w:rsid w:val="005937C2"/>
    <w:rsid w:val="00593C07"/>
    <w:rsid w:val="00593EC4"/>
    <w:rsid w:val="00594559"/>
    <w:rsid w:val="0059464B"/>
    <w:rsid w:val="00595064"/>
    <w:rsid w:val="00595628"/>
    <w:rsid w:val="00595D22"/>
    <w:rsid w:val="00595F09"/>
    <w:rsid w:val="00596FFE"/>
    <w:rsid w:val="0059737D"/>
    <w:rsid w:val="00597465"/>
    <w:rsid w:val="005A1F0C"/>
    <w:rsid w:val="005A2042"/>
    <w:rsid w:val="005A2800"/>
    <w:rsid w:val="005A29C8"/>
    <w:rsid w:val="005A2BE5"/>
    <w:rsid w:val="005A32B6"/>
    <w:rsid w:val="005A34C9"/>
    <w:rsid w:val="005A3A17"/>
    <w:rsid w:val="005A4BE1"/>
    <w:rsid w:val="005A4E6B"/>
    <w:rsid w:val="005A52C3"/>
    <w:rsid w:val="005A5367"/>
    <w:rsid w:val="005A56E4"/>
    <w:rsid w:val="005A732E"/>
    <w:rsid w:val="005B00AC"/>
    <w:rsid w:val="005B06DF"/>
    <w:rsid w:val="005B0708"/>
    <w:rsid w:val="005B11AD"/>
    <w:rsid w:val="005B17FF"/>
    <w:rsid w:val="005B1D03"/>
    <w:rsid w:val="005B2F9B"/>
    <w:rsid w:val="005B4A5F"/>
    <w:rsid w:val="005B4B08"/>
    <w:rsid w:val="005B548E"/>
    <w:rsid w:val="005B5875"/>
    <w:rsid w:val="005B5949"/>
    <w:rsid w:val="005B5D8C"/>
    <w:rsid w:val="005B67C0"/>
    <w:rsid w:val="005B6AEE"/>
    <w:rsid w:val="005BB076"/>
    <w:rsid w:val="005C12EB"/>
    <w:rsid w:val="005C1E99"/>
    <w:rsid w:val="005C2602"/>
    <w:rsid w:val="005C2DA0"/>
    <w:rsid w:val="005C3773"/>
    <w:rsid w:val="005C39AE"/>
    <w:rsid w:val="005C3DFB"/>
    <w:rsid w:val="005C4072"/>
    <w:rsid w:val="005C48A3"/>
    <w:rsid w:val="005C4CF1"/>
    <w:rsid w:val="005C4E60"/>
    <w:rsid w:val="005C5E60"/>
    <w:rsid w:val="005C6403"/>
    <w:rsid w:val="005C6542"/>
    <w:rsid w:val="005C672E"/>
    <w:rsid w:val="005C6F7E"/>
    <w:rsid w:val="005C7BE5"/>
    <w:rsid w:val="005D02EC"/>
    <w:rsid w:val="005D064C"/>
    <w:rsid w:val="005D0AE6"/>
    <w:rsid w:val="005D0CD5"/>
    <w:rsid w:val="005D0D05"/>
    <w:rsid w:val="005D1297"/>
    <w:rsid w:val="005D162E"/>
    <w:rsid w:val="005D1D00"/>
    <w:rsid w:val="005D1FD2"/>
    <w:rsid w:val="005D1FF0"/>
    <w:rsid w:val="005D2885"/>
    <w:rsid w:val="005D3144"/>
    <w:rsid w:val="005D34CD"/>
    <w:rsid w:val="005D3CA4"/>
    <w:rsid w:val="005D3FCE"/>
    <w:rsid w:val="005D490A"/>
    <w:rsid w:val="005D604B"/>
    <w:rsid w:val="005D60BF"/>
    <w:rsid w:val="005D6979"/>
    <w:rsid w:val="005D7753"/>
    <w:rsid w:val="005E03F3"/>
    <w:rsid w:val="005E17E2"/>
    <w:rsid w:val="005E1E4F"/>
    <w:rsid w:val="005E2768"/>
    <w:rsid w:val="005E3BD4"/>
    <w:rsid w:val="005E5224"/>
    <w:rsid w:val="005E6949"/>
    <w:rsid w:val="005E6AE2"/>
    <w:rsid w:val="005E6BB6"/>
    <w:rsid w:val="005E6F0C"/>
    <w:rsid w:val="005E74E8"/>
    <w:rsid w:val="005E7980"/>
    <w:rsid w:val="005E7B6F"/>
    <w:rsid w:val="005F0A1C"/>
    <w:rsid w:val="005F0B84"/>
    <w:rsid w:val="005F103B"/>
    <w:rsid w:val="005F178C"/>
    <w:rsid w:val="005F22BA"/>
    <w:rsid w:val="005F266A"/>
    <w:rsid w:val="005F2D83"/>
    <w:rsid w:val="005F3109"/>
    <w:rsid w:val="005F3A0A"/>
    <w:rsid w:val="005F50BB"/>
    <w:rsid w:val="005F53E4"/>
    <w:rsid w:val="005F5B21"/>
    <w:rsid w:val="005F6252"/>
    <w:rsid w:val="005F628D"/>
    <w:rsid w:val="005F6578"/>
    <w:rsid w:val="005F68D7"/>
    <w:rsid w:val="005F7BA2"/>
    <w:rsid w:val="006003E8"/>
    <w:rsid w:val="006005C4"/>
    <w:rsid w:val="00600F21"/>
    <w:rsid w:val="00601DDC"/>
    <w:rsid w:val="00602206"/>
    <w:rsid w:val="006028DE"/>
    <w:rsid w:val="006035EE"/>
    <w:rsid w:val="0060412C"/>
    <w:rsid w:val="00604DC4"/>
    <w:rsid w:val="00605771"/>
    <w:rsid w:val="00605EAA"/>
    <w:rsid w:val="00606236"/>
    <w:rsid w:val="0060704C"/>
    <w:rsid w:val="006073D3"/>
    <w:rsid w:val="00607AA7"/>
    <w:rsid w:val="00610D15"/>
    <w:rsid w:val="00612558"/>
    <w:rsid w:val="00612DFF"/>
    <w:rsid w:val="00612ED5"/>
    <w:rsid w:val="00613A40"/>
    <w:rsid w:val="00614645"/>
    <w:rsid w:val="0061497B"/>
    <w:rsid w:val="00614D1D"/>
    <w:rsid w:val="00615042"/>
    <w:rsid w:val="0061772C"/>
    <w:rsid w:val="006207D3"/>
    <w:rsid w:val="00620CC2"/>
    <w:rsid w:val="00620E48"/>
    <w:rsid w:val="00620FDC"/>
    <w:rsid w:val="00621D99"/>
    <w:rsid w:val="006230DB"/>
    <w:rsid w:val="00623C9A"/>
    <w:rsid w:val="006244E7"/>
    <w:rsid w:val="006244F6"/>
    <w:rsid w:val="006245B0"/>
    <w:rsid w:val="006245CD"/>
    <w:rsid w:val="00624931"/>
    <w:rsid w:val="00624B1F"/>
    <w:rsid w:val="00626E9C"/>
    <w:rsid w:val="006278EF"/>
    <w:rsid w:val="00627F89"/>
    <w:rsid w:val="00630E49"/>
    <w:rsid w:val="00632105"/>
    <w:rsid w:val="00632A4D"/>
    <w:rsid w:val="0063331F"/>
    <w:rsid w:val="00633D6C"/>
    <w:rsid w:val="00634258"/>
    <w:rsid w:val="00634AB1"/>
    <w:rsid w:val="00634EFE"/>
    <w:rsid w:val="00635D48"/>
    <w:rsid w:val="00636203"/>
    <w:rsid w:val="00636605"/>
    <w:rsid w:val="00636972"/>
    <w:rsid w:val="006371C7"/>
    <w:rsid w:val="00637417"/>
    <w:rsid w:val="006378E3"/>
    <w:rsid w:val="00637B73"/>
    <w:rsid w:val="00637C28"/>
    <w:rsid w:val="0064011E"/>
    <w:rsid w:val="00641794"/>
    <w:rsid w:val="00641C55"/>
    <w:rsid w:val="00641F9C"/>
    <w:rsid w:val="006424EA"/>
    <w:rsid w:val="006426D7"/>
    <w:rsid w:val="006436C2"/>
    <w:rsid w:val="0064395F"/>
    <w:rsid w:val="00643A06"/>
    <w:rsid w:val="00644091"/>
    <w:rsid w:val="006441D9"/>
    <w:rsid w:val="00644B07"/>
    <w:rsid w:val="00646613"/>
    <w:rsid w:val="00646A55"/>
    <w:rsid w:val="0064719C"/>
    <w:rsid w:val="00650563"/>
    <w:rsid w:val="0065122A"/>
    <w:rsid w:val="00651B8B"/>
    <w:rsid w:val="00651D6B"/>
    <w:rsid w:val="00652AF2"/>
    <w:rsid w:val="00653517"/>
    <w:rsid w:val="00653D33"/>
    <w:rsid w:val="00653F86"/>
    <w:rsid w:val="006544B8"/>
    <w:rsid w:val="0065458A"/>
    <w:rsid w:val="006551A7"/>
    <w:rsid w:val="00655ACB"/>
    <w:rsid w:val="00656BF7"/>
    <w:rsid w:val="00656FF0"/>
    <w:rsid w:val="006572CD"/>
    <w:rsid w:val="0065775E"/>
    <w:rsid w:val="00657C1D"/>
    <w:rsid w:val="00657D1F"/>
    <w:rsid w:val="00660878"/>
    <w:rsid w:val="006624DD"/>
    <w:rsid w:val="00662827"/>
    <w:rsid w:val="00662A81"/>
    <w:rsid w:val="00662C02"/>
    <w:rsid w:val="006630D6"/>
    <w:rsid w:val="00663B17"/>
    <w:rsid w:val="00664458"/>
    <w:rsid w:val="00664A86"/>
    <w:rsid w:val="0066557B"/>
    <w:rsid w:val="00665589"/>
    <w:rsid w:val="00665813"/>
    <w:rsid w:val="00665825"/>
    <w:rsid w:val="00665D58"/>
    <w:rsid w:val="0066636F"/>
    <w:rsid w:val="006666EC"/>
    <w:rsid w:val="00667288"/>
    <w:rsid w:val="00670680"/>
    <w:rsid w:val="006709AB"/>
    <w:rsid w:val="00672BC0"/>
    <w:rsid w:val="00672C61"/>
    <w:rsid w:val="006736AE"/>
    <w:rsid w:val="0067370B"/>
    <w:rsid w:val="00674FF1"/>
    <w:rsid w:val="006751B8"/>
    <w:rsid w:val="006751CE"/>
    <w:rsid w:val="00676C58"/>
    <w:rsid w:val="00677CE0"/>
    <w:rsid w:val="00677FDE"/>
    <w:rsid w:val="0068011F"/>
    <w:rsid w:val="006806CC"/>
    <w:rsid w:val="00681EF8"/>
    <w:rsid w:val="00682016"/>
    <w:rsid w:val="00682066"/>
    <w:rsid w:val="0068238D"/>
    <w:rsid w:val="00683461"/>
    <w:rsid w:val="006837B3"/>
    <w:rsid w:val="006837D3"/>
    <w:rsid w:val="0068476E"/>
    <w:rsid w:val="00684F56"/>
    <w:rsid w:val="0068609F"/>
    <w:rsid w:val="0068699E"/>
    <w:rsid w:val="006872A0"/>
    <w:rsid w:val="006873BE"/>
    <w:rsid w:val="006873E1"/>
    <w:rsid w:val="0069179F"/>
    <w:rsid w:val="00691DE4"/>
    <w:rsid w:val="0069237D"/>
    <w:rsid w:val="00692D12"/>
    <w:rsid w:val="00693156"/>
    <w:rsid w:val="0069316E"/>
    <w:rsid w:val="006934E5"/>
    <w:rsid w:val="00693C0C"/>
    <w:rsid w:val="00694387"/>
    <w:rsid w:val="00694BA4"/>
    <w:rsid w:val="00694F36"/>
    <w:rsid w:val="00696155"/>
    <w:rsid w:val="006964C5"/>
    <w:rsid w:val="00696B07"/>
    <w:rsid w:val="006975A7"/>
    <w:rsid w:val="00697C38"/>
    <w:rsid w:val="006A02F9"/>
    <w:rsid w:val="006A1009"/>
    <w:rsid w:val="006A138A"/>
    <w:rsid w:val="006A1611"/>
    <w:rsid w:val="006A1D9A"/>
    <w:rsid w:val="006A2055"/>
    <w:rsid w:val="006A2385"/>
    <w:rsid w:val="006A320E"/>
    <w:rsid w:val="006A3AB5"/>
    <w:rsid w:val="006A46BB"/>
    <w:rsid w:val="006A4B93"/>
    <w:rsid w:val="006A5363"/>
    <w:rsid w:val="006A583D"/>
    <w:rsid w:val="006A5FAC"/>
    <w:rsid w:val="006A5FD1"/>
    <w:rsid w:val="006A7088"/>
    <w:rsid w:val="006A7180"/>
    <w:rsid w:val="006A72A6"/>
    <w:rsid w:val="006A7509"/>
    <w:rsid w:val="006A79BC"/>
    <w:rsid w:val="006B01C5"/>
    <w:rsid w:val="006B03E3"/>
    <w:rsid w:val="006B108D"/>
    <w:rsid w:val="006B175E"/>
    <w:rsid w:val="006B18FA"/>
    <w:rsid w:val="006B1A4B"/>
    <w:rsid w:val="006B1A75"/>
    <w:rsid w:val="006B2B3E"/>
    <w:rsid w:val="006B2E53"/>
    <w:rsid w:val="006B362C"/>
    <w:rsid w:val="006B3A11"/>
    <w:rsid w:val="006B4DBB"/>
    <w:rsid w:val="006B54E0"/>
    <w:rsid w:val="006B588D"/>
    <w:rsid w:val="006B58E5"/>
    <w:rsid w:val="006B62D5"/>
    <w:rsid w:val="006B72AD"/>
    <w:rsid w:val="006B7E3A"/>
    <w:rsid w:val="006BE67C"/>
    <w:rsid w:val="006C0947"/>
    <w:rsid w:val="006C162A"/>
    <w:rsid w:val="006C25BB"/>
    <w:rsid w:val="006C26ED"/>
    <w:rsid w:val="006C283D"/>
    <w:rsid w:val="006C352F"/>
    <w:rsid w:val="006C4272"/>
    <w:rsid w:val="006C4AEB"/>
    <w:rsid w:val="006C5FB9"/>
    <w:rsid w:val="006C71EC"/>
    <w:rsid w:val="006C7585"/>
    <w:rsid w:val="006C7CAE"/>
    <w:rsid w:val="006C7F7E"/>
    <w:rsid w:val="006D0173"/>
    <w:rsid w:val="006D017A"/>
    <w:rsid w:val="006D07A3"/>
    <w:rsid w:val="006D08C4"/>
    <w:rsid w:val="006D13FD"/>
    <w:rsid w:val="006D221F"/>
    <w:rsid w:val="006D2DA5"/>
    <w:rsid w:val="006D3189"/>
    <w:rsid w:val="006D36EE"/>
    <w:rsid w:val="006D42BA"/>
    <w:rsid w:val="006D42EF"/>
    <w:rsid w:val="006D4CB1"/>
    <w:rsid w:val="006D4ECF"/>
    <w:rsid w:val="006D4EF1"/>
    <w:rsid w:val="006D510E"/>
    <w:rsid w:val="006D5CD9"/>
    <w:rsid w:val="006D61A2"/>
    <w:rsid w:val="006D7427"/>
    <w:rsid w:val="006E2C39"/>
    <w:rsid w:val="006E329A"/>
    <w:rsid w:val="006E3451"/>
    <w:rsid w:val="006E40D0"/>
    <w:rsid w:val="006E477C"/>
    <w:rsid w:val="006E4963"/>
    <w:rsid w:val="006E4E60"/>
    <w:rsid w:val="006E536A"/>
    <w:rsid w:val="006E7252"/>
    <w:rsid w:val="006F2609"/>
    <w:rsid w:val="006F2B63"/>
    <w:rsid w:val="006F3DC4"/>
    <w:rsid w:val="006F41D1"/>
    <w:rsid w:val="006F5286"/>
    <w:rsid w:val="006F5290"/>
    <w:rsid w:val="006F54F5"/>
    <w:rsid w:val="006F71EE"/>
    <w:rsid w:val="006F7396"/>
    <w:rsid w:val="00700112"/>
    <w:rsid w:val="00700310"/>
    <w:rsid w:val="007005CA"/>
    <w:rsid w:val="007006BA"/>
    <w:rsid w:val="007015C4"/>
    <w:rsid w:val="00701765"/>
    <w:rsid w:val="00701832"/>
    <w:rsid w:val="00701CE6"/>
    <w:rsid w:val="0070213A"/>
    <w:rsid w:val="00702189"/>
    <w:rsid w:val="0070224B"/>
    <w:rsid w:val="00702A1F"/>
    <w:rsid w:val="00703296"/>
    <w:rsid w:val="0070381C"/>
    <w:rsid w:val="00703AA9"/>
    <w:rsid w:val="0070440B"/>
    <w:rsid w:val="00704C8D"/>
    <w:rsid w:val="0070534C"/>
    <w:rsid w:val="0070572C"/>
    <w:rsid w:val="00705C05"/>
    <w:rsid w:val="00706205"/>
    <w:rsid w:val="00707A42"/>
    <w:rsid w:val="00707BAE"/>
    <w:rsid w:val="00710492"/>
    <w:rsid w:val="007117A7"/>
    <w:rsid w:val="00712574"/>
    <w:rsid w:val="007126D7"/>
    <w:rsid w:val="00712903"/>
    <w:rsid w:val="00712C8B"/>
    <w:rsid w:val="00712D7A"/>
    <w:rsid w:val="00713184"/>
    <w:rsid w:val="0071355D"/>
    <w:rsid w:val="00713A7E"/>
    <w:rsid w:val="00713FE4"/>
    <w:rsid w:val="00714302"/>
    <w:rsid w:val="007145E4"/>
    <w:rsid w:val="007159CF"/>
    <w:rsid w:val="0071620F"/>
    <w:rsid w:val="007164CD"/>
    <w:rsid w:val="0071650E"/>
    <w:rsid w:val="00716541"/>
    <w:rsid w:val="00716619"/>
    <w:rsid w:val="00716870"/>
    <w:rsid w:val="007168A5"/>
    <w:rsid w:val="007177AD"/>
    <w:rsid w:val="00717CE5"/>
    <w:rsid w:val="00717F00"/>
    <w:rsid w:val="00720980"/>
    <w:rsid w:val="00720E59"/>
    <w:rsid w:val="007211B6"/>
    <w:rsid w:val="0072163D"/>
    <w:rsid w:val="007218C1"/>
    <w:rsid w:val="00722787"/>
    <w:rsid w:val="00722C92"/>
    <w:rsid w:val="00722EB5"/>
    <w:rsid w:val="00723D89"/>
    <w:rsid w:val="007242DC"/>
    <w:rsid w:val="0072495B"/>
    <w:rsid w:val="00724B77"/>
    <w:rsid w:val="00724D00"/>
    <w:rsid w:val="00725516"/>
    <w:rsid w:val="00725817"/>
    <w:rsid w:val="00726C08"/>
    <w:rsid w:val="00726D7B"/>
    <w:rsid w:val="00726DDF"/>
    <w:rsid w:val="00727110"/>
    <w:rsid w:val="00730251"/>
    <w:rsid w:val="007303B8"/>
    <w:rsid w:val="00730C08"/>
    <w:rsid w:val="0073131A"/>
    <w:rsid w:val="00731CEC"/>
    <w:rsid w:val="00732039"/>
    <w:rsid w:val="007320DF"/>
    <w:rsid w:val="00732322"/>
    <w:rsid w:val="00732C7F"/>
    <w:rsid w:val="00733405"/>
    <w:rsid w:val="007339C0"/>
    <w:rsid w:val="00733A29"/>
    <w:rsid w:val="00735043"/>
    <w:rsid w:val="007367A6"/>
    <w:rsid w:val="00737C62"/>
    <w:rsid w:val="007404CF"/>
    <w:rsid w:val="00740549"/>
    <w:rsid w:val="00740B99"/>
    <w:rsid w:val="0074119C"/>
    <w:rsid w:val="00741B43"/>
    <w:rsid w:val="00741B8A"/>
    <w:rsid w:val="00742A16"/>
    <w:rsid w:val="0074403F"/>
    <w:rsid w:val="00744909"/>
    <w:rsid w:val="00744919"/>
    <w:rsid w:val="00744EA7"/>
    <w:rsid w:val="0074565C"/>
    <w:rsid w:val="0074578F"/>
    <w:rsid w:val="00745C72"/>
    <w:rsid w:val="007467CF"/>
    <w:rsid w:val="0074716F"/>
    <w:rsid w:val="007476CF"/>
    <w:rsid w:val="00747D78"/>
    <w:rsid w:val="00747EC8"/>
    <w:rsid w:val="007500F8"/>
    <w:rsid w:val="007506A4"/>
    <w:rsid w:val="00750807"/>
    <w:rsid w:val="00750DBD"/>
    <w:rsid w:val="00751EC4"/>
    <w:rsid w:val="007526D0"/>
    <w:rsid w:val="0075310D"/>
    <w:rsid w:val="00753F97"/>
    <w:rsid w:val="007546B6"/>
    <w:rsid w:val="00754A05"/>
    <w:rsid w:val="00755C42"/>
    <w:rsid w:val="0075659A"/>
    <w:rsid w:val="007579EF"/>
    <w:rsid w:val="00761ADB"/>
    <w:rsid w:val="00761BC6"/>
    <w:rsid w:val="00761F23"/>
    <w:rsid w:val="00761FA4"/>
    <w:rsid w:val="00762219"/>
    <w:rsid w:val="00762B4E"/>
    <w:rsid w:val="00762D3D"/>
    <w:rsid w:val="00763CF5"/>
    <w:rsid w:val="00763D8C"/>
    <w:rsid w:val="00763E1A"/>
    <w:rsid w:val="00764280"/>
    <w:rsid w:val="007645B3"/>
    <w:rsid w:val="007647CC"/>
    <w:rsid w:val="007649C5"/>
    <w:rsid w:val="00764B54"/>
    <w:rsid w:val="0076516B"/>
    <w:rsid w:val="00765230"/>
    <w:rsid w:val="00765905"/>
    <w:rsid w:val="00765917"/>
    <w:rsid w:val="007668E6"/>
    <w:rsid w:val="007678D5"/>
    <w:rsid w:val="00767AB8"/>
    <w:rsid w:val="00770134"/>
    <w:rsid w:val="007705AA"/>
    <w:rsid w:val="007708C9"/>
    <w:rsid w:val="00771684"/>
    <w:rsid w:val="007719C9"/>
    <w:rsid w:val="00772343"/>
    <w:rsid w:val="00772786"/>
    <w:rsid w:val="00772B1E"/>
    <w:rsid w:val="00772C15"/>
    <w:rsid w:val="00772F7B"/>
    <w:rsid w:val="00773483"/>
    <w:rsid w:val="007734A0"/>
    <w:rsid w:val="00774C4C"/>
    <w:rsid w:val="00774C6C"/>
    <w:rsid w:val="007752BF"/>
    <w:rsid w:val="00776191"/>
    <w:rsid w:val="007771E6"/>
    <w:rsid w:val="007775FA"/>
    <w:rsid w:val="00777B37"/>
    <w:rsid w:val="00777C73"/>
    <w:rsid w:val="00780480"/>
    <w:rsid w:val="00780DBC"/>
    <w:rsid w:val="0078104D"/>
    <w:rsid w:val="0078283D"/>
    <w:rsid w:val="00782C79"/>
    <w:rsid w:val="00782E6E"/>
    <w:rsid w:val="00784677"/>
    <w:rsid w:val="00784947"/>
    <w:rsid w:val="00785AFF"/>
    <w:rsid w:val="007874D0"/>
    <w:rsid w:val="00787AD9"/>
    <w:rsid w:val="007902D4"/>
    <w:rsid w:val="00790737"/>
    <w:rsid w:val="00790D3F"/>
    <w:rsid w:val="00790E00"/>
    <w:rsid w:val="00791391"/>
    <w:rsid w:val="00792714"/>
    <w:rsid w:val="007935DC"/>
    <w:rsid w:val="00793B33"/>
    <w:rsid w:val="007945C1"/>
    <w:rsid w:val="00794AEA"/>
    <w:rsid w:val="00794B98"/>
    <w:rsid w:val="00794FBA"/>
    <w:rsid w:val="0079500A"/>
    <w:rsid w:val="00795510"/>
    <w:rsid w:val="00795853"/>
    <w:rsid w:val="00796BC2"/>
    <w:rsid w:val="00796FF7"/>
    <w:rsid w:val="007973BF"/>
    <w:rsid w:val="00797500"/>
    <w:rsid w:val="00797DC8"/>
    <w:rsid w:val="00797E88"/>
    <w:rsid w:val="007A00FE"/>
    <w:rsid w:val="007A05E0"/>
    <w:rsid w:val="007A0E16"/>
    <w:rsid w:val="007A0E31"/>
    <w:rsid w:val="007A1039"/>
    <w:rsid w:val="007A2490"/>
    <w:rsid w:val="007A2974"/>
    <w:rsid w:val="007A4185"/>
    <w:rsid w:val="007A42C8"/>
    <w:rsid w:val="007A4A72"/>
    <w:rsid w:val="007A6239"/>
    <w:rsid w:val="007B1D6F"/>
    <w:rsid w:val="007B235F"/>
    <w:rsid w:val="007B2FC7"/>
    <w:rsid w:val="007B37C9"/>
    <w:rsid w:val="007B4AD3"/>
    <w:rsid w:val="007B504C"/>
    <w:rsid w:val="007B55CA"/>
    <w:rsid w:val="007B5CF3"/>
    <w:rsid w:val="007B6DCA"/>
    <w:rsid w:val="007B7A31"/>
    <w:rsid w:val="007C04DB"/>
    <w:rsid w:val="007C050A"/>
    <w:rsid w:val="007C14BE"/>
    <w:rsid w:val="007C1C76"/>
    <w:rsid w:val="007C1F64"/>
    <w:rsid w:val="007C2095"/>
    <w:rsid w:val="007C2CC8"/>
    <w:rsid w:val="007C2F09"/>
    <w:rsid w:val="007C3186"/>
    <w:rsid w:val="007C332F"/>
    <w:rsid w:val="007C3F58"/>
    <w:rsid w:val="007C400A"/>
    <w:rsid w:val="007C4151"/>
    <w:rsid w:val="007C456B"/>
    <w:rsid w:val="007C45BF"/>
    <w:rsid w:val="007C5A55"/>
    <w:rsid w:val="007C6041"/>
    <w:rsid w:val="007C60FA"/>
    <w:rsid w:val="007C62BB"/>
    <w:rsid w:val="007C6F59"/>
    <w:rsid w:val="007D00F4"/>
    <w:rsid w:val="007D0288"/>
    <w:rsid w:val="007D075B"/>
    <w:rsid w:val="007D1006"/>
    <w:rsid w:val="007D103A"/>
    <w:rsid w:val="007D148B"/>
    <w:rsid w:val="007D1B7F"/>
    <w:rsid w:val="007D2125"/>
    <w:rsid w:val="007D258F"/>
    <w:rsid w:val="007D2B1E"/>
    <w:rsid w:val="007D2F45"/>
    <w:rsid w:val="007D2FE9"/>
    <w:rsid w:val="007D38DF"/>
    <w:rsid w:val="007D3A2B"/>
    <w:rsid w:val="007D3A68"/>
    <w:rsid w:val="007D3FA1"/>
    <w:rsid w:val="007D422C"/>
    <w:rsid w:val="007D48CF"/>
    <w:rsid w:val="007D4C7F"/>
    <w:rsid w:val="007D52CC"/>
    <w:rsid w:val="007D5366"/>
    <w:rsid w:val="007D7967"/>
    <w:rsid w:val="007D7D00"/>
    <w:rsid w:val="007DBD6B"/>
    <w:rsid w:val="007E1551"/>
    <w:rsid w:val="007E1877"/>
    <w:rsid w:val="007E1BBD"/>
    <w:rsid w:val="007E2C90"/>
    <w:rsid w:val="007E2F81"/>
    <w:rsid w:val="007E4CA5"/>
    <w:rsid w:val="007E4EC2"/>
    <w:rsid w:val="007E55D4"/>
    <w:rsid w:val="007E6B09"/>
    <w:rsid w:val="007E6E15"/>
    <w:rsid w:val="007E720E"/>
    <w:rsid w:val="007E76AF"/>
    <w:rsid w:val="007F02E7"/>
    <w:rsid w:val="007F08ED"/>
    <w:rsid w:val="007F0917"/>
    <w:rsid w:val="007F1484"/>
    <w:rsid w:val="007F1657"/>
    <w:rsid w:val="007F187E"/>
    <w:rsid w:val="007F1C80"/>
    <w:rsid w:val="007F202F"/>
    <w:rsid w:val="007F32DB"/>
    <w:rsid w:val="007F4F05"/>
    <w:rsid w:val="007F5169"/>
    <w:rsid w:val="007F520B"/>
    <w:rsid w:val="007F5F04"/>
    <w:rsid w:val="007F63DA"/>
    <w:rsid w:val="007F6489"/>
    <w:rsid w:val="007F6AE9"/>
    <w:rsid w:val="007F6DAD"/>
    <w:rsid w:val="007F7237"/>
    <w:rsid w:val="00800219"/>
    <w:rsid w:val="008009C9"/>
    <w:rsid w:val="008016DF"/>
    <w:rsid w:val="008017F7"/>
    <w:rsid w:val="00802C40"/>
    <w:rsid w:val="008034DA"/>
    <w:rsid w:val="008043C2"/>
    <w:rsid w:val="008043F6"/>
    <w:rsid w:val="00804684"/>
    <w:rsid w:val="00804AD0"/>
    <w:rsid w:val="008052D3"/>
    <w:rsid w:val="00805411"/>
    <w:rsid w:val="00805A7D"/>
    <w:rsid w:val="00806249"/>
    <w:rsid w:val="008062A3"/>
    <w:rsid w:val="008066C5"/>
    <w:rsid w:val="00807082"/>
    <w:rsid w:val="00807279"/>
    <w:rsid w:val="008073B3"/>
    <w:rsid w:val="008074DD"/>
    <w:rsid w:val="00810648"/>
    <w:rsid w:val="00810B5B"/>
    <w:rsid w:val="00810B86"/>
    <w:rsid w:val="0081194D"/>
    <w:rsid w:val="008124C7"/>
    <w:rsid w:val="008129DC"/>
    <w:rsid w:val="008133E4"/>
    <w:rsid w:val="008134C0"/>
    <w:rsid w:val="00813A5E"/>
    <w:rsid w:val="0081434C"/>
    <w:rsid w:val="00814845"/>
    <w:rsid w:val="00816A6D"/>
    <w:rsid w:val="00817547"/>
    <w:rsid w:val="008176B5"/>
    <w:rsid w:val="00817871"/>
    <w:rsid w:val="00817EB6"/>
    <w:rsid w:val="00821E71"/>
    <w:rsid w:val="008233ED"/>
    <w:rsid w:val="0082342C"/>
    <w:rsid w:val="008241E9"/>
    <w:rsid w:val="008242F2"/>
    <w:rsid w:val="0082465A"/>
    <w:rsid w:val="00824BA6"/>
    <w:rsid w:val="00825336"/>
    <w:rsid w:val="00825A3A"/>
    <w:rsid w:val="00825CA4"/>
    <w:rsid w:val="00826618"/>
    <w:rsid w:val="00826683"/>
    <w:rsid w:val="00826759"/>
    <w:rsid w:val="00827EDE"/>
    <w:rsid w:val="00827F05"/>
    <w:rsid w:val="0082B4B7"/>
    <w:rsid w:val="0083021F"/>
    <w:rsid w:val="00830A20"/>
    <w:rsid w:val="00830B8B"/>
    <w:rsid w:val="008310FF"/>
    <w:rsid w:val="0083113F"/>
    <w:rsid w:val="0083174E"/>
    <w:rsid w:val="008318CC"/>
    <w:rsid w:val="008322A4"/>
    <w:rsid w:val="008322D6"/>
    <w:rsid w:val="0083296C"/>
    <w:rsid w:val="00833255"/>
    <w:rsid w:val="00833A17"/>
    <w:rsid w:val="00833E6C"/>
    <w:rsid w:val="00835310"/>
    <w:rsid w:val="00835AEC"/>
    <w:rsid w:val="00836748"/>
    <w:rsid w:val="008368EC"/>
    <w:rsid w:val="00836AE1"/>
    <w:rsid w:val="0083730A"/>
    <w:rsid w:val="0083733D"/>
    <w:rsid w:val="00837533"/>
    <w:rsid w:val="00837771"/>
    <w:rsid w:val="008417DF"/>
    <w:rsid w:val="00841817"/>
    <w:rsid w:val="00841DE8"/>
    <w:rsid w:val="00841E56"/>
    <w:rsid w:val="00841F18"/>
    <w:rsid w:val="008421E2"/>
    <w:rsid w:val="008432EF"/>
    <w:rsid w:val="00844DE2"/>
    <w:rsid w:val="00844F38"/>
    <w:rsid w:val="0084619E"/>
    <w:rsid w:val="00846221"/>
    <w:rsid w:val="008467DA"/>
    <w:rsid w:val="00846FC4"/>
    <w:rsid w:val="00847382"/>
    <w:rsid w:val="00847633"/>
    <w:rsid w:val="00847AF5"/>
    <w:rsid w:val="0085036D"/>
    <w:rsid w:val="00850405"/>
    <w:rsid w:val="008514DE"/>
    <w:rsid w:val="00853110"/>
    <w:rsid w:val="00853B77"/>
    <w:rsid w:val="00853E25"/>
    <w:rsid w:val="00853EA7"/>
    <w:rsid w:val="00854253"/>
    <w:rsid w:val="008547E0"/>
    <w:rsid w:val="008558C4"/>
    <w:rsid w:val="00855BDF"/>
    <w:rsid w:val="00855C49"/>
    <w:rsid w:val="00855ECB"/>
    <w:rsid w:val="008578CE"/>
    <w:rsid w:val="00857C4D"/>
    <w:rsid w:val="00857D2D"/>
    <w:rsid w:val="00860A0B"/>
    <w:rsid w:val="00860AF8"/>
    <w:rsid w:val="00860D23"/>
    <w:rsid w:val="008610E6"/>
    <w:rsid w:val="0086120A"/>
    <w:rsid w:val="008615E0"/>
    <w:rsid w:val="008618E4"/>
    <w:rsid w:val="00861968"/>
    <w:rsid w:val="00862370"/>
    <w:rsid w:val="00862A5C"/>
    <w:rsid w:val="008636B5"/>
    <w:rsid w:val="008639C3"/>
    <w:rsid w:val="008643C1"/>
    <w:rsid w:val="008644CE"/>
    <w:rsid w:val="0086477C"/>
    <w:rsid w:val="008648B4"/>
    <w:rsid w:val="0086491D"/>
    <w:rsid w:val="00864ABD"/>
    <w:rsid w:val="00866FD5"/>
    <w:rsid w:val="00867379"/>
    <w:rsid w:val="00867F50"/>
    <w:rsid w:val="008708BD"/>
    <w:rsid w:val="00870C23"/>
    <w:rsid w:val="00872256"/>
    <w:rsid w:val="0087242B"/>
    <w:rsid w:val="0087277C"/>
    <w:rsid w:val="00872F3D"/>
    <w:rsid w:val="0087325C"/>
    <w:rsid w:val="008738F7"/>
    <w:rsid w:val="00873948"/>
    <w:rsid w:val="0087404A"/>
    <w:rsid w:val="00874500"/>
    <w:rsid w:val="00874F22"/>
    <w:rsid w:val="00875866"/>
    <w:rsid w:val="00875D31"/>
    <w:rsid w:val="00877534"/>
    <w:rsid w:val="00877AD6"/>
    <w:rsid w:val="00877BAA"/>
    <w:rsid w:val="008803D7"/>
    <w:rsid w:val="0088112B"/>
    <w:rsid w:val="008818CB"/>
    <w:rsid w:val="008820E2"/>
    <w:rsid w:val="008826B9"/>
    <w:rsid w:val="00882BA6"/>
    <w:rsid w:val="0088387F"/>
    <w:rsid w:val="00884411"/>
    <w:rsid w:val="0088469E"/>
    <w:rsid w:val="0088508E"/>
    <w:rsid w:val="008856F5"/>
    <w:rsid w:val="00886D9F"/>
    <w:rsid w:val="00886F4B"/>
    <w:rsid w:val="00887BA1"/>
    <w:rsid w:val="00887F39"/>
    <w:rsid w:val="00887FD6"/>
    <w:rsid w:val="0088B4A2"/>
    <w:rsid w:val="008911F8"/>
    <w:rsid w:val="00891A50"/>
    <w:rsid w:val="00892D92"/>
    <w:rsid w:val="00893AC7"/>
    <w:rsid w:val="00893CFD"/>
    <w:rsid w:val="00894D80"/>
    <w:rsid w:val="0089597B"/>
    <w:rsid w:val="00895BCD"/>
    <w:rsid w:val="00895C52"/>
    <w:rsid w:val="00895D25"/>
    <w:rsid w:val="00896606"/>
    <w:rsid w:val="00896C49"/>
    <w:rsid w:val="00897964"/>
    <w:rsid w:val="00897D6D"/>
    <w:rsid w:val="008A0E94"/>
    <w:rsid w:val="008A11E8"/>
    <w:rsid w:val="008A22F0"/>
    <w:rsid w:val="008A246F"/>
    <w:rsid w:val="008A2B74"/>
    <w:rsid w:val="008A2C0E"/>
    <w:rsid w:val="008A418C"/>
    <w:rsid w:val="008A48B8"/>
    <w:rsid w:val="008A4AEF"/>
    <w:rsid w:val="008A4B7F"/>
    <w:rsid w:val="008A4EEB"/>
    <w:rsid w:val="008A5147"/>
    <w:rsid w:val="008A5236"/>
    <w:rsid w:val="008A52EB"/>
    <w:rsid w:val="008A536E"/>
    <w:rsid w:val="008A5698"/>
    <w:rsid w:val="008A625B"/>
    <w:rsid w:val="008A6352"/>
    <w:rsid w:val="008A657E"/>
    <w:rsid w:val="008A6F9A"/>
    <w:rsid w:val="008A7840"/>
    <w:rsid w:val="008B013F"/>
    <w:rsid w:val="008B0EB9"/>
    <w:rsid w:val="008B27AE"/>
    <w:rsid w:val="008B4F4A"/>
    <w:rsid w:val="008B53D3"/>
    <w:rsid w:val="008B547B"/>
    <w:rsid w:val="008B55BB"/>
    <w:rsid w:val="008B5768"/>
    <w:rsid w:val="008B5D07"/>
    <w:rsid w:val="008B6170"/>
    <w:rsid w:val="008B73CA"/>
    <w:rsid w:val="008BC9C4"/>
    <w:rsid w:val="008C02A9"/>
    <w:rsid w:val="008C08E8"/>
    <w:rsid w:val="008C17D3"/>
    <w:rsid w:val="008C1E1E"/>
    <w:rsid w:val="008C252E"/>
    <w:rsid w:val="008C3122"/>
    <w:rsid w:val="008C3E8D"/>
    <w:rsid w:val="008C5513"/>
    <w:rsid w:val="008C5D5A"/>
    <w:rsid w:val="008C716C"/>
    <w:rsid w:val="008C7A6E"/>
    <w:rsid w:val="008C7CA1"/>
    <w:rsid w:val="008D0713"/>
    <w:rsid w:val="008D10CC"/>
    <w:rsid w:val="008D1246"/>
    <w:rsid w:val="008D1E28"/>
    <w:rsid w:val="008D2898"/>
    <w:rsid w:val="008D29AC"/>
    <w:rsid w:val="008D38BA"/>
    <w:rsid w:val="008D50CC"/>
    <w:rsid w:val="008D5AAA"/>
    <w:rsid w:val="008D5C7B"/>
    <w:rsid w:val="008D5E00"/>
    <w:rsid w:val="008D6021"/>
    <w:rsid w:val="008D6709"/>
    <w:rsid w:val="008D6948"/>
    <w:rsid w:val="008D6BFB"/>
    <w:rsid w:val="008D7DDF"/>
    <w:rsid w:val="008D7E74"/>
    <w:rsid w:val="008E063A"/>
    <w:rsid w:val="008E06FC"/>
    <w:rsid w:val="008E07D3"/>
    <w:rsid w:val="008E1BB6"/>
    <w:rsid w:val="008E2D6C"/>
    <w:rsid w:val="008E2F28"/>
    <w:rsid w:val="008E3695"/>
    <w:rsid w:val="008E3890"/>
    <w:rsid w:val="008E467B"/>
    <w:rsid w:val="008E467C"/>
    <w:rsid w:val="008E469E"/>
    <w:rsid w:val="008E4A91"/>
    <w:rsid w:val="008E4D24"/>
    <w:rsid w:val="008E5A72"/>
    <w:rsid w:val="008E5AF8"/>
    <w:rsid w:val="008E5CAB"/>
    <w:rsid w:val="008E5ECA"/>
    <w:rsid w:val="008E6528"/>
    <w:rsid w:val="008E67C7"/>
    <w:rsid w:val="008E6934"/>
    <w:rsid w:val="008F0042"/>
    <w:rsid w:val="008F0067"/>
    <w:rsid w:val="008F0568"/>
    <w:rsid w:val="008F167C"/>
    <w:rsid w:val="008F2335"/>
    <w:rsid w:val="008F39ED"/>
    <w:rsid w:val="008F4A86"/>
    <w:rsid w:val="008F4A88"/>
    <w:rsid w:val="008F4C3D"/>
    <w:rsid w:val="008F6089"/>
    <w:rsid w:val="008F732E"/>
    <w:rsid w:val="008F7660"/>
    <w:rsid w:val="0090045D"/>
    <w:rsid w:val="009010CB"/>
    <w:rsid w:val="00901BD3"/>
    <w:rsid w:val="0090294D"/>
    <w:rsid w:val="00902B03"/>
    <w:rsid w:val="009043FE"/>
    <w:rsid w:val="00905245"/>
    <w:rsid w:val="00905C6C"/>
    <w:rsid w:val="009066F4"/>
    <w:rsid w:val="009103BA"/>
    <w:rsid w:val="0091148C"/>
    <w:rsid w:val="00911793"/>
    <w:rsid w:val="00911BCA"/>
    <w:rsid w:val="00912590"/>
    <w:rsid w:val="009137AE"/>
    <w:rsid w:val="00914531"/>
    <w:rsid w:val="009145CD"/>
    <w:rsid w:val="00914C15"/>
    <w:rsid w:val="009155D3"/>
    <w:rsid w:val="00915853"/>
    <w:rsid w:val="00916452"/>
    <w:rsid w:val="00917401"/>
    <w:rsid w:val="0092031C"/>
    <w:rsid w:val="009227C7"/>
    <w:rsid w:val="009233FC"/>
    <w:rsid w:val="00923BD8"/>
    <w:rsid w:val="00923F51"/>
    <w:rsid w:val="00924C17"/>
    <w:rsid w:val="00924C8C"/>
    <w:rsid w:val="00924F7A"/>
    <w:rsid w:val="00924FA9"/>
    <w:rsid w:val="00925B5C"/>
    <w:rsid w:val="009264B5"/>
    <w:rsid w:val="009265CF"/>
    <w:rsid w:val="009266A0"/>
    <w:rsid w:val="009266F2"/>
    <w:rsid w:val="0092754C"/>
    <w:rsid w:val="0092E984"/>
    <w:rsid w:val="009314A1"/>
    <w:rsid w:val="00931585"/>
    <w:rsid w:val="009316FB"/>
    <w:rsid w:val="00931848"/>
    <w:rsid w:val="00932A5C"/>
    <w:rsid w:val="00932FEA"/>
    <w:rsid w:val="00933CF5"/>
    <w:rsid w:val="009346DC"/>
    <w:rsid w:val="00935A5C"/>
    <w:rsid w:val="00936A77"/>
    <w:rsid w:val="00936B26"/>
    <w:rsid w:val="00936B75"/>
    <w:rsid w:val="00937AF4"/>
    <w:rsid w:val="009402A0"/>
    <w:rsid w:val="00940581"/>
    <w:rsid w:val="0094096B"/>
    <w:rsid w:val="009415FF"/>
    <w:rsid w:val="00941854"/>
    <w:rsid w:val="009435BD"/>
    <w:rsid w:val="0094363C"/>
    <w:rsid w:val="00943742"/>
    <w:rsid w:val="009438F3"/>
    <w:rsid w:val="0094481F"/>
    <w:rsid w:val="00944C53"/>
    <w:rsid w:val="00944F50"/>
    <w:rsid w:val="00945206"/>
    <w:rsid w:val="00945349"/>
    <w:rsid w:val="00945836"/>
    <w:rsid w:val="00946189"/>
    <w:rsid w:val="00946784"/>
    <w:rsid w:val="00946DDE"/>
    <w:rsid w:val="00946DF0"/>
    <w:rsid w:val="00947236"/>
    <w:rsid w:val="0094737A"/>
    <w:rsid w:val="0094738B"/>
    <w:rsid w:val="00947A3A"/>
    <w:rsid w:val="00947B1D"/>
    <w:rsid w:val="0095162E"/>
    <w:rsid w:val="00951B1C"/>
    <w:rsid w:val="00952E76"/>
    <w:rsid w:val="00952EF6"/>
    <w:rsid w:val="009532F8"/>
    <w:rsid w:val="009533D2"/>
    <w:rsid w:val="00953DD8"/>
    <w:rsid w:val="00953E19"/>
    <w:rsid w:val="009540A5"/>
    <w:rsid w:val="00954F4C"/>
    <w:rsid w:val="0095513B"/>
    <w:rsid w:val="009554F4"/>
    <w:rsid w:val="0095561E"/>
    <w:rsid w:val="00960006"/>
    <w:rsid w:val="00960013"/>
    <w:rsid w:val="00960CC1"/>
    <w:rsid w:val="00961206"/>
    <w:rsid w:val="00961470"/>
    <w:rsid w:val="00961EEA"/>
    <w:rsid w:val="00962983"/>
    <w:rsid w:val="00962B69"/>
    <w:rsid w:val="0096330B"/>
    <w:rsid w:val="009637D8"/>
    <w:rsid w:val="0096391E"/>
    <w:rsid w:val="00963C4A"/>
    <w:rsid w:val="00963FAC"/>
    <w:rsid w:val="009642B5"/>
    <w:rsid w:val="009647FA"/>
    <w:rsid w:val="00964D93"/>
    <w:rsid w:val="00965132"/>
    <w:rsid w:val="009657C0"/>
    <w:rsid w:val="00966520"/>
    <w:rsid w:val="00967848"/>
    <w:rsid w:val="00967973"/>
    <w:rsid w:val="00970AC8"/>
    <w:rsid w:val="00970D40"/>
    <w:rsid w:val="009719A1"/>
    <w:rsid w:val="00972A80"/>
    <w:rsid w:val="00973124"/>
    <w:rsid w:val="0097441C"/>
    <w:rsid w:val="00975162"/>
    <w:rsid w:val="00975278"/>
    <w:rsid w:val="009761E7"/>
    <w:rsid w:val="009778E9"/>
    <w:rsid w:val="00977FEF"/>
    <w:rsid w:val="00980286"/>
    <w:rsid w:val="00980B7A"/>
    <w:rsid w:val="00981026"/>
    <w:rsid w:val="00981BEF"/>
    <w:rsid w:val="00981DEF"/>
    <w:rsid w:val="009843AE"/>
    <w:rsid w:val="009845E2"/>
    <w:rsid w:val="00986771"/>
    <w:rsid w:val="00986A0C"/>
    <w:rsid w:val="009874E4"/>
    <w:rsid w:val="00987887"/>
    <w:rsid w:val="009879AF"/>
    <w:rsid w:val="00987C97"/>
    <w:rsid w:val="0099170C"/>
    <w:rsid w:val="00991A7D"/>
    <w:rsid w:val="00991EB2"/>
    <w:rsid w:val="00992366"/>
    <w:rsid w:val="009927C4"/>
    <w:rsid w:val="00992E4E"/>
    <w:rsid w:val="0099405C"/>
    <w:rsid w:val="00995008"/>
    <w:rsid w:val="00995447"/>
    <w:rsid w:val="009954F4"/>
    <w:rsid w:val="009956F4"/>
    <w:rsid w:val="00996252"/>
    <w:rsid w:val="00997332"/>
    <w:rsid w:val="009975AD"/>
    <w:rsid w:val="00997631"/>
    <w:rsid w:val="009977AD"/>
    <w:rsid w:val="00997AB1"/>
    <w:rsid w:val="009A038D"/>
    <w:rsid w:val="009A1424"/>
    <w:rsid w:val="009A191E"/>
    <w:rsid w:val="009A193B"/>
    <w:rsid w:val="009A1D9C"/>
    <w:rsid w:val="009A1E9B"/>
    <w:rsid w:val="009A24A3"/>
    <w:rsid w:val="009A2ABC"/>
    <w:rsid w:val="009A4CFC"/>
    <w:rsid w:val="009A570B"/>
    <w:rsid w:val="009A6BE0"/>
    <w:rsid w:val="009A7A13"/>
    <w:rsid w:val="009A7F53"/>
    <w:rsid w:val="009B084D"/>
    <w:rsid w:val="009B1C36"/>
    <w:rsid w:val="009B20BA"/>
    <w:rsid w:val="009B2CF8"/>
    <w:rsid w:val="009B3032"/>
    <w:rsid w:val="009B32A1"/>
    <w:rsid w:val="009B426A"/>
    <w:rsid w:val="009B4500"/>
    <w:rsid w:val="009B4D93"/>
    <w:rsid w:val="009B4F60"/>
    <w:rsid w:val="009B50C7"/>
    <w:rsid w:val="009B57D9"/>
    <w:rsid w:val="009B5C1D"/>
    <w:rsid w:val="009B767B"/>
    <w:rsid w:val="009B7922"/>
    <w:rsid w:val="009B7E70"/>
    <w:rsid w:val="009C090D"/>
    <w:rsid w:val="009C0ED5"/>
    <w:rsid w:val="009C1283"/>
    <w:rsid w:val="009C1B78"/>
    <w:rsid w:val="009C2137"/>
    <w:rsid w:val="009C2302"/>
    <w:rsid w:val="009C23CE"/>
    <w:rsid w:val="009C316F"/>
    <w:rsid w:val="009C353C"/>
    <w:rsid w:val="009C3716"/>
    <w:rsid w:val="009C468B"/>
    <w:rsid w:val="009C4A28"/>
    <w:rsid w:val="009C52B2"/>
    <w:rsid w:val="009C5AEE"/>
    <w:rsid w:val="009C5E87"/>
    <w:rsid w:val="009C65B3"/>
    <w:rsid w:val="009C6785"/>
    <w:rsid w:val="009C69D5"/>
    <w:rsid w:val="009C6B0E"/>
    <w:rsid w:val="009C76B0"/>
    <w:rsid w:val="009C777D"/>
    <w:rsid w:val="009C7D2B"/>
    <w:rsid w:val="009D0B58"/>
    <w:rsid w:val="009D1117"/>
    <w:rsid w:val="009D1760"/>
    <w:rsid w:val="009D1F59"/>
    <w:rsid w:val="009D235E"/>
    <w:rsid w:val="009D273B"/>
    <w:rsid w:val="009D30A3"/>
    <w:rsid w:val="009D33CB"/>
    <w:rsid w:val="009D3551"/>
    <w:rsid w:val="009D35E6"/>
    <w:rsid w:val="009D3643"/>
    <w:rsid w:val="009D3853"/>
    <w:rsid w:val="009D3A52"/>
    <w:rsid w:val="009D3DD3"/>
    <w:rsid w:val="009D3EF9"/>
    <w:rsid w:val="009D4027"/>
    <w:rsid w:val="009D44EA"/>
    <w:rsid w:val="009D4988"/>
    <w:rsid w:val="009D5540"/>
    <w:rsid w:val="009D5723"/>
    <w:rsid w:val="009D57DE"/>
    <w:rsid w:val="009D5AD4"/>
    <w:rsid w:val="009D61BB"/>
    <w:rsid w:val="009D652A"/>
    <w:rsid w:val="009D695C"/>
    <w:rsid w:val="009D6B24"/>
    <w:rsid w:val="009D6F53"/>
    <w:rsid w:val="009D734F"/>
    <w:rsid w:val="009D7620"/>
    <w:rsid w:val="009D7C25"/>
    <w:rsid w:val="009D7D45"/>
    <w:rsid w:val="009D7F1C"/>
    <w:rsid w:val="009D7F9A"/>
    <w:rsid w:val="009DD2E5"/>
    <w:rsid w:val="009E00DE"/>
    <w:rsid w:val="009E033C"/>
    <w:rsid w:val="009E224E"/>
    <w:rsid w:val="009E225E"/>
    <w:rsid w:val="009E26BC"/>
    <w:rsid w:val="009E3303"/>
    <w:rsid w:val="009E3376"/>
    <w:rsid w:val="009E38CD"/>
    <w:rsid w:val="009E5059"/>
    <w:rsid w:val="009E5234"/>
    <w:rsid w:val="009E5C9B"/>
    <w:rsid w:val="009E63A0"/>
    <w:rsid w:val="009E6BDC"/>
    <w:rsid w:val="009E6D99"/>
    <w:rsid w:val="009E7410"/>
    <w:rsid w:val="009F07C1"/>
    <w:rsid w:val="009F0EF5"/>
    <w:rsid w:val="009F2A62"/>
    <w:rsid w:val="009F360E"/>
    <w:rsid w:val="009F3C0A"/>
    <w:rsid w:val="009F3ECB"/>
    <w:rsid w:val="009F416E"/>
    <w:rsid w:val="009F45E6"/>
    <w:rsid w:val="009F51FB"/>
    <w:rsid w:val="009F5562"/>
    <w:rsid w:val="009F58BA"/>
    <w:rsid w:val="009F5E27"/>
    <w:rsid w:val="009F6354"/>
    <w:rsid w:val="009F6CE8"/>
    <w:rsid w:val="009F73D2"/>
    <w:rsid w:val="009F7789"/>
    <w:rsid w:val="00A0005C"/>
    <w:rsid w:val="00A0015F"/>
    <w:rsid w:val="00A00D5E"/>
    <w:rsid w:val="00A021ED"/>
    <w:rsid w:val="00A0247E"/>
    <w:rsid w:val="00A02B7E"/>
    <w:rsid w:val="00A031E3"/>
    <w:rsid w:val="00A03683"/>
    <w:rsid w:val="00A0386B"/>
    <w:rsid w:val="00A04B63"/>
    <w:rsid w:val="00A05292"/>
    <w:rsid w:val="00A05328"/>
    <w:rsid w:val="00A05414"/>
    <w:rsid w:val="00A0553B"/>
    <w:rsid w:val="00A05AAA"/>
    <w:rsid w:val="00A06228"/>
    <w:rsid w:val="00A06DB8"/>
    <w:rsid w:val="00A06F76"/>
    <w:rsid w:val="00A07279"/>
    <w:rsid w:val="00A0732D"/>
    <w:rsid w:val="00A0771F"/>
    <w:rsid w:val="00A10E5F"/>
    <w:rsid w:val="00A11004"/>
    <w:rsid w:val="00A113A4"/>
    <w:rsid w:val="00A11CF2"/>
    <w:rsid w:val="00A12737"/>
    <w:rsid w:val="00A1297A"/>
    <w:rsid w:val="00A1341E"/>
    <w:rsid w:val="00A13AE6"/>
    <w:rsid w:val="00A1413A"/>
    <w:rsid w:val="00A14574"/>
    <w:rsid w:val="00A145C1"/>
    <w:rsid w:val="00A15337"/>
    <w:rsid w:val="00A1540B"/>
    <w:rsid w:val="00A15475"/>
    <w:rsid w:val="00A16548"/>
    <w:rsid w:val="00A1735B"/>
    <w:rsid w:val="00A173BA"/>
    <w:rsid w:val="00A17767"/>
    <w:rsid w:val="00A17CF8"/>
    <w:rsid w:val="00A209D4"/>
    <w:rsid w:val="00A20B75"/>
    <w:rsid w:val="00A20C26"/>
    <w:rsid w:val="00A21194"/>
    <w:rsid w:val="00A21779"/>
    <w:rsid w:val="00A21893"/>
    <w:rsid w:val="00A21BCA"/>
    <w:rsid w:val="00A23FD8"/>
    <w:rsid w:val="00A24049"/>
    <w:rsid w:val="00A255C7"/>
    <w:rsid w:val="00A2598A"/>
    <w:rsid w:val="00A27A71"/>
    <w:rsid w:val="00A27EAC"/>
    <w:rsid w:val="00A31470"/>
    <w:rsid w:val="00A31881"/>
    <w:rsid w:val="00A319A8"/>
    <w:rsid w:val="00A31DFE"/>
    <w:rsid w:val="00A32574"/>
    <w:rsid w:val="00A328E5"/>
    <w:rsid w:val="00A32DAB"/>
    <w:rsid w:val="00A32DFC"/>
    <w:rsid w:val="00A33A11"/>
    <w:rsid w:val="00A34625"/>
    <w:rsid w:val="00A34E5B"/>
    <w:rsid w:val="00A34EC0"/>
    <w:rsid w:val="00A35163"/>
    <w:rsid w:val="00A355B3"/>
    <w:rsid w:val="00A355B5"/>
    <w:rsid w:val="00A35AC2"/>
    <w:rsid w:val="00A367D5"/>
    <w:rsid w:val="00A3688D"/>
    <w:rsid w:val="00A36A2A"/>
    <w:rsid w:val="00A3724C"/>
    <w:rsid w:val="00A37635"/>
    <w:rsid w:val="00A4141E"/>
    <w:rsid w:val="00A42168"/>
    <w:rsid w:val="00A4285D"/>
    <w:rsid w:val="00A42CF5"/>
    <w:rsid w:val="00A430A1"/>
    <w:rsid w:val="00A437C9"/>
    <w:rsid w:val="00A440FF"/>
    <w:rsid w:val="00A4416B"/>
    <w:rsid w:val="00A4488F"/>
    <w:rsid w:val="00A449D2"/>
    <w:rsid w:val="00A44B41"/>
    <w:rsid w:val="00A44C4F"/>
    <w:rsid w:val="00A44CF5"/>
    <w:rsid w:val="00A45231"/>
    <w:rsid w:val="00A454DB"/>
    <w:rsid w:val="00A464B4"/>
    <w:rsid w:val="00A465AE"/>
    <w:rsid w:val="00A47BAF"/>
    <w:rsid w:val="00A506D1"/>
    <w:rsid w:val="00A50DC3"/>
    <w:rsid w:val="00A514A5"/>
    <w:rsid w:val="00A51F72"/>
    <w:rsid w:val="00A52C49"/>
    <w:rsid w:val="00A52E1E"/>
    <w:rsid w:val="00A53FAC"/>
    <w:rsid w:val="00A5410C"/>
    <w:rsid w:val="00A5439A"/>
    <w:rsid w:val="00A5445E"/>
    <w:rsid w:val="00A55B04"/>
    <w:rsid w:val="00A55B05"/>
    <w:rsid w:val="00A564BC"/>
    <w:rsid w:val="00A5665C"/>
    <w:rsid w:val="00A56B36"/>
    <w:rsid w:val="00A56B68"/>
    <w:rsid w:val="00A56B7B"/>
    <w:rsid w:val="00A56DD4"/>
    <w:rsid w:val="00A57873"/>
    <w:rsid w:val="00A57A7E"/>
    <w:rsid w:val="00A60CB5"/>
    <w:rsid w:val="00A612EA"/>
    <w:rsid w:val="00A6256D"/>
    <w:rsid w:val="00A62A3E"/>
    <w:rsid w:val="00A630D1"/>
    <w:rsid w:val="00A634C2"/>
    <w:rsid w:val="00A65EA5"/>
    <w:rsid w:val="00A66ADB"/>
    <w:rsid w:val="00A67890"/>
    <w:rsid w:val="00A70E5A"/>
    <w:rsid w:val="00A70FEA"/>
    <w:rsid w:val="00A7160B"/>
    <w:rsid w:val="00A7182D"/>
    <w:rsid w:val="00A7183E"/>
    <w:rsid w:val="00A719A0"/>
    <w:rsid w:val="00A72711"/>
    <w:rsid w:val="00A73890"/>
    <w:rsid w:val="00A73A68"/>
    <w:rsid w:val="00A7514C"/>
    <w:rsid w:val="00A752AD"/>
    <w:rsid w:val="00A7542E"/>
    <w:rsid w:val="00A755B4"/>
    <w:rsid w:val="00A76142"/>
    <w:rsid w:val="00A7620A"/>
    <w:rsid w:val="00A7648A"/>
    <w:rsid w:val="00A764F1"/>
    <w:rsid w:val="00A76BD0"/>
    <w:rsid w:val="00A76BE3"/>
    <w:rsid w:val="00A7705A"/>
    <w:rsid w:val="00A77994"/>
    <w:rsid w:val="00A779B2"/>
    <w:rsid w:val="00A80D92"/>
    <w:rsid w:val="00A81384"/>
    <w:rsid w:val="00A81A46"/>
    <w:rsid w:val="00A81CD9"/>
    <w:rsid w:val="00A81D69"/>
    <w:rsid w:val="00A82457"/>
    <w:rsid w:val="00A82842"/>
    <w:rsid w:val="00A82B27"/>
    <w:rsid w:val="00A8476B"/>
    <w:rsid w:val="00A8512E"/>
    <w:rsid w:val="00A85399"/>
    <w:rsid w:val="00A8544C"/>
    <w:rsid w:val="00A8550D"/>
    <w:rsid w:val="00A904A8"/>
    <w:rsid w:val="00A90AD0"/>
    <w:rsid w:val="00A90D9B"/>
    <w:rsid w:val="00A91581"/>
    <w:rsid w:val="00A92AD4"/>
    <w:rsid w:val="00A92BAF"/>
    <w:rsid w:val="00A92CF4"/>
    <w:rsid w:val="00A9309C"/>
    <w:rsid w:val="00A930D4"/>
    <w:rsid w:val="00A93351"/>
    <w:rsid w:val="00A93840"/>
    <w:rsid w:val="00A93E61"/>
    <w:rsid w:val="00A93ED4"/>
    <w:rsid w:val="00A94524"/>
    <w:rsid w:val="00A95479"/>
    <w:rsid w:val="00A95868"/>
    <w:rsid w:val="00A958CA"/>
    <w:rsid w:val="00A96458"/>
    <w:rsid w:val="00A96D84"/>
    <w:rsid w:val="00A9743D"/>
    <w:rsid w:val="00A9759B"/>
    <w:rsid w:val="00A975B7"/>
    <w:rsid w:val="00A97A3C"/>
    <w:rsid w:val="00AA0742"/>
    <w:rsid w:val="00AA09F2"/>
    <w:rsid w:val="00AA0A40"/>
    <w:rsid w:val="00AA0E91"/>
    <w:rsid w:val="00AA0F7D"/>
    <w:rsid w:val="00AA0FD9"/>
    <w:rsid w:val="00AA256D"/>
    <w:rsid w:val="00AA5254"/>
    <w:rsid w:val="00AA5328"/>
    <w:rsid w:val="00AA628A"/>
    <w:rsid w:val="00AA66C0"/>
    <w:rsid w:val="00AA6EF5"/>
    <w:rsid w:val="00AB082A"/>
    <w:rsid w:val="00AB0ADD"/>
    <w:rsid w:val="00AB107D"/>
    <w:rsid w:val="00AB13A2"/>
    <w:rsid w:val="00AB20B0"/>
    <w:rsid w:val="00AB33C9"/>
    <w:rsid w:val="00AB4042"/>
    <w:rsid w:val="00AB4691"/>
    <w:rsid w:val="00AB4979"/>
    <w:rsid w:val="00AB56DB"/>
    <w:rsid w:val="00AB578A"/>
    <w:rsid w:val="00AB5DAA"/>
    <w:rsid w:val="00AB7535"/>
    <w:rsid w:val="00AB775F"/>
    <w:rsid w:val="00AB7B23"/>
    <w:rsid w:val="00AB7FFB"/>
    <w:rsid w:val="00AC06F4"/>
    <w:rsid w:val="00AC1C49"/>
    <w:rsid w:val="00AC36FA"/>
    <w:rsid w:val="00AC42AC"/>
    <w:rsid w:val="00AC4919"/>
    <w:rsid w:val="00AC4922"/>
    <w:rsid w:val="00AC50B1"/>
    <w:rsid w:val="00AC5170"/>
    <w:rsid w:val="00AC606D"/>
    <w:rsid w:val="00AC6181"/>
    <w:rsid w:val="00AC64E2"/>
    <w:rsid w:val="00AC66A2"/>
    <w:rsid w:val="00AC687B"/>
    <w:rsid w:val="00AC6B9C"/>
    <w:rsid w:val="00AC6BF3"/>
    <w:rsid w:val="00AC6DF6"/>
    <w:rsid w:val="00AC7371"/>
    <w:rsid w:val="00AC7762"/>
    <w:rsid w:val="00AD08AE"/>
    <w:rsid w:val="00AD0A21"/>
    <w:rsid w:val="00AD1ED4"/>
    <w:rsid w:val="00AD2C44"/>
    <w:rsid w:val="00AD2EAF"/>
    <w:rsid w:val="00AD2FA5"/>
    <w:rsid w:val="00AD3B90"/>
    <w:rsid w:val="00AD3C2B"/>
    <w:rsid w:val="00AD5792"/>
    <w:rsid w:val="00AD5AA4"/>
    <w:rsid w:val="00AD5C76"/>
    <w:rsid w:val="00AD5D3B"/>
    <w:rsid w:val="00AD60D9"/>
    <w:rsid w:val="00AD6A7B"/>
    <w:rsid w:val="00AD6DAF"/>
    <w:rsid w:val="00AD7254"/>
    <w:rsid w:val="00AD76BB"/>
    <w:rsid w:val="00AD79F4"/>
    <w:rsid w:val="00AD7BDD"/>
    <w:rsid w:val="00AD7D69"/>
    <w:rsid w:val="00AD7E7E"/>
    <w:rsid w:val="00AE0F82"/>
    <w:rsid w:val="00AE1B81"/>
    <w:rsid w:val="00AE24FD"/>
    <w:rsid w:val="00AE2751"/>
    <w:rsid w:val="00AE3EF4"/>
    <w:rsid w:val="00AE40BB"/>
    <w:rsid w:val="00AE459A"/>
    <w:rsid w:val="00AE4E6A"/>
    <w:rsid w:val="00AE51A1"/>
    <w:rsid w:val="00AE54F7"/>
    <w:rsid w:val="00AE56BC"/>
    <w:rsid w:val="00AE5894"/>
    <w:rsid w:val="00AE5C8B"/>
    <w:rsid w:val="00AE5F8C"/>
    <w:rsid w:val="00AE6693"/>
    <w:rsid w:val="00AE7823"/>
    <w:rsid w:val="00AF002A"/>
    <w:rsid w:val="00AF1154"/>
    <w:rsid w:val="00AF266E"/>
    <w:rsid w:val="00AF28B5"/>
    <w:rsid w:val="00AF2B91"/>
    <w:rsid w:val="00AF2FAB"/>
    <w:rsid w:val="00AF4652"/>
    <w:rsid w:val="00AF49B3"/>
    <w:rsid w:val="00AF6AA6"/>
    <w:rsid w:val="00AF7D59"/>
    <w:rsid w:val="00B00B24"/>
    <w:rsid w:val="00B0116E"/>
    <w:rsid w:val="00B01207"/>
    <w:rsid w:val="00B01362"/>
    <w:rsid w:val="00B0242E"/>
    <w:rsid w:val="00B02680"/>
    <w:rsid w:val="00B02795"/>
    <w:rsid w:val="00B0288C"/>
    <w:rsid w:val="00B0307F"/>
    <w:rsid w:val="00B03468"/>
    <w:rsid w:val="00B0391E"/>
    <w:rsid w:val="00B03A96"/>
    <w:rsid w:val="00B0442A"/>
    <w:rsid w:val="00B05B5B"/>
    <w:rsid w:val="00B06693"/>
    <w:rsid w:val="00B0748A"/>
    <w:rsid w:val="00B07982"/>
    <w:rsid w:val="00B07DAB"/>
    <w:rsid w:val="00B07FFE"/>
    <w:rsid w:val="00B101CE"/>
    <w:rsid w:val="00B10763"/>
    <w:rsid w:val="00B10CB4"/>
    <w:rsid w:val="00B118E4"/>
    <w:rsid w:val="00B118EB"/>
    <w:rsid w:val="00B1240C"/>
    <w:rsid w:val="00B12486"/>
    <w:rsid w:val="00B12601"/>
    <w:rsid w:val="00B12A12"/>
    <w:rsid w:val="00B13C1F"/>
    <w:rsid w:val="00B1402C"/>
    <w:rsid w:val="00B1548D"/>
    <w:rsid w:val="00B15688"/>
    <w:rsid w:val="00B16C1D"/>
    <w:rsid w:val="00B16CF5"/>
    <w:rsid w:val="00B16DFD"/>
    <w:rsid w:val="00B174B6"/>
    <w:rsid w:val="00B178F3"/>
    <w:rsid w:val="00B20C2E"/>
    <w:rsid w:val="00B20E85"/>
    <w:rsid w:val="00B2106A"/>
    <w:rsid w:val="00B210EF"/>
    <w:rsid w:val="00B21942"/>
    <w:rsid w:val="00B21C0C"/>
    <w:rsid w:val="00B221B0"/>
    <w:rsid w:val="00B2231C"/>
    <w:rsid w:val="00B23B0A"/>
    <w:rsid w:val="00B23D08"/>
    <w:rsid w:val="00B23D18"/>
    <w:rsid w:val="00B25C48"/>
    <w:rsid w:val="00B25C49"/>
    <w:rsid w:val="00B2742C"/>
    <w:rsid w:val="00B27D93"/>
    <w:rsid w:val="00B27FE5"/>
    <w:rsid w:val="00B3004B"/>
    <w:rsid w:val="00B3112E"/>
    <w:rsid w:val="00B32126"/>
    <w:rsid w:val="00B32E45"/>
    <w:rsid w:val="00B333DC"/>
    <w:rsid w:val="00B3406D"/>
    <w:rsid w:val="00B342FF"/>
    <w:rsid w:val="00B34A3C"/>
    <w:rsid w:val="00B34C38"/>
    <w:rsid w:val="00B34C64"/>
    <w:rsid w:val="00B34DE9"/>
    <w:rsid w:val="00B36AF1"/>
    <w:rsid w:val="00B36B00"/>
    <w:rsid w:val="00B3780A"/>
    <w:rsid w:val="00B37912"/>
    <w:rsid w:val="00B37C4B"/>
    <w:rsid w:val="00B40276"/>
    <w:rsid w:val="00B40C1F"/>
    <w:rsid w:val="00B41343"/>
    <w:rsid w:val="00B41713"/>
    <w:rsid w:val="00B4172E"/>
    <w:rsid w:val="00B42264"/>
    <w:rsid w:val="00B42E39"/>
    <w:rsid w:val="00B431FA"/>
    <w:rsid w:val="00B43974"/>
    <w:rsid w:val="00B43B40"/>
    <w:rsid w:val="00B45CF3"/>
    <w:rsid w:val="00B4678A"/>
    <w:rsid w:val="00B478BD"/>
    <w:rsid w:val="00B47E8B"/>
    <w:rsid w:val="00B50A6A"/>
    <w:rsid w:val="00B50B2D"/>
    <w:rsid w:val="00B51213"/>
    <w:rsid w:val="00B512DD"/>
    <w:rsid w:val="00B51970"/>
    <w:rsid w:val="00B51BF2"/>
    <w:rsid w:val="00B5220A"/>
    <w:rsid w:val="00B52B89"/>
    <w:rsid w:val="00B52D29"/>
    <w:rsid w:val="00B54FDD"/>
    <w:rsid w:val="00B55A19"/>
    <w:rsid w:val="00B55D55"/>
    <w:rsid w:val="00B56951"/>
    <w:rsid w:val="00B56CD8"/>
    <w:rsid w:val="00B571BA"/>
    <w:rsid w:val="00B57DBB"/>
    <w:rsid w:val="00B602C9"/>
    <w:rsid w:val="00B60606"/>
    <w:rsid w:val="00B606F3"/>
    <w:rsid w:val="00B60CF8"/>
    <w:rsid w:val="00B60F31"/>
    <w:rsid w:val="00B61DB6"/>
    <w:rsid w:val="00B623BD"/>
    <w:rsid w:val="00B62C22"/>
    <w:rsid w:val="00B62C88"/>
    <w:rsid w:val="00B63BE6"/>
    <w:rsid w:val="00B63E59"/>
    <w:rsid w:val="00B65EB0"/>
    <w:rsid w:val="00B664AD"/>
    <w:rsid w:val="00B66684"/>
    <w:rsid w:val="00B66832"/>
    <w:rsid w:val="00B66D9E"/>
    <w:rsid w:val="00B70141"/>
    <w:rsid w:val="00B71574"/>
    <w:rsid w:val="00B72754"/>
    <w:rsid w:val="00B72FEF"/>
    <w:rsid w:val="00B7422F"/>
    <w:rsid w:val="00B7472F"/>
    <w:rsid w:val="00B749D1"/>
    <w:rsid w:val="00B74CA1"/>
    <w:rsid w:val="00B75093"/>
    <w:rsid w:val="00B753A2"/>
    <w:rsid w:val="00B759A1"/>
    <w:rsid w:val="00B75AE6"/>
    <w:rsid w:val="00B75CF2"/>
    <w:rsid w:val="00B768B6"/>
    <w:rsid w:val="00B778FE"/>
    <w:rsid w:val="00B805AD"/>
    <w:rsid w:val="00B8124E"/>
    <w:rsid w:val="00B819AB"/>
    <w:rsid w:val="00B8232C"/>
    <w:rsid w:val="00B8263A"/>
    <w:rsid w:val="00B82643"/>
    <w:rsid w:val="00B82E5B"/>
    <w:rsid w:val="00B82F10"/>
    <w:rsid w:val="00B83103"/>
    <w:rsid w:val="00B833B0"/>
    <w:rsid w:val="00B836C9"/>
    <w:rsid w:val="00B83839"/>
    <w:rsid w:val="00B85E69"/>
    <w:rsid w:val="00B861E6"/>
    <w:rsid w:val="00B86DF9"/>
    <w:rsid w:val="00B902DB"/>
    <w:rsid w:val="00B90BAA"/>
    <w:rsid w:val="00B90C58"/>
    <w:rsid w:val="00B91515"/>
    <w:rsid w:val="00B9178E"/>
    <w:rsid w:val="00B91CEF"/>
    <w:rsid w:val="00B91DF9"/>
    <w:rsid w:val="00B92823"/>
    <w:rsid w:val="00B92BD8"/>
    <w:rsid w:val="00B93A3E"/>
    <w:rsid w:val="00B94011"/>
    <w:rsid w:val="00B95154"/>
    <w:rsid w:val="00B951BF"/>
    <w:rsid w:val="00B96183"/>
    <w:rsid w:val="00B96A22"/>
    <w:rsid w:val="00B97C0E"/>
    <w:rsid w:val="00BA09BD"/>
    <w:rsid w:val="00BA14BA"/>
    <w:rsid w:val="00BA2158"/>
    <w:rsid w:val="00BA2A92"/>
    <w:rsid w:val="00BA31A8"/>
    <w:rsid w:val="00BA32FC"/>
    <w:rsid w:val="00BA46E9"/>
    <w:rsid w:val="00BA4970"/>
    <w:rsid w:val="00BA550E"/>
    <w:rsid w:val="00BA5705"/>
    <w:rsid w:val="00BA58D2"/>
    <w:rsid w:val="00BA5CC8"/>
    <w:rsid w:val="00BA6A01"/>
    <w:rsid w:val="00BA6B8A"/>
    <w:rsid w:val="00BA6C0D"/>
    <w:rsid w:val="00BA6FFA"/>
    <w:rsid w:val="00BA7233"/>
    <w:rsid w:val="00BB01BA"/>
    <w:rsid w:val="00BB064C"/>
    <w:rsid w:val="00BB1575"/>
    <w:rsid w:val="00BB220C"/>
    <w:rsid w:val="00BB2516"/>
    <w:rsid w:val="00BB390B"/>
    <w:rsid w:val="00BB39A0"/>
    <w:rsid w:val="00BB3F78"/>
    <w:rsid w:val="00BB53F7"/>
    <w:rsid w:val="00BB5A00"/>
    <w:rsid w:val="00BB61A0"/>
    <w:rsid w:val="00BB7091"/>
    <w:rsid w:val="00BB7498"/>
    <w:rsid w:val="00BC0344"/>
    <w:rsid w:val="00BC04F6"/>
    <w:rsid w:val="00BC0682"/>
    <w:rsid w:val="00BC0B18"/>
    <w:rsid w:val="00BC18FB"/>
    <w:rsid w:val="00BC19CA"/>
    <w:rsid w:val="00BC2015"/>
    <w:rsid w:val="00BC20F2"/>
    <w:rsid w:val="00BC216B"/>
    <w:rsid w:val="00BC2EA2"/>
    <w:rsid w:val="00BC31E3"/>
    <w:rsid w:val="00BC373D"/>
    <w:rsid w:val="00BC49CD"/>
    <w:rsid w:val="00BC4BA5"/>
    <w:rsid w:val="00BC65F5"/>
    <w:rsid w:val="00BC769B"/>
    <w:rsid w:val="00BC7AFC"/>
    <w:rsid w:val="00BD0737"/>
    <w:rsid w:val="00BD286F"/>
    <w:rsid w:val="00BD406C"/>
    <w:rsid w:val="00BD4C4D"/>
    <w:rsid w:val="00BD5121"/>
    <w:rsid w:val="00BD5155"/>
    <w:rsid w:val="00BD56B6"/>
    <w:rsid w:val="00BD5E88"/>
    <w:rsid w:val="00BD602B"/>
    <w:rsid w:val="00BD6960"/>
    <w:rsid w:val="00BD69D7"/>
    <w:rsid w:val="00BD6A3B"/>
    <w:rsid w:val="00BD73EE"/>
    <w:rsid w:val="00BE022F"/>
    <w:rsid w:val="00BE069A"/>
    <w:rsid w:val="00BE07F9"/>
    <w:rsid w:val="00BE0E7F"/>
    <w:rsid w:val="00BE1174"/>
    <w:rsid w:val="00BE153B"/>
    <w:rsid w:val="00BE2375"/>
    <w:rsid w:val="00BE26F9"/>
    <w:rsid w:val="00BE2A9B"/>
    <w:rsid w:val="00BE2B7A"/>
    <w:rsid w:val="00BE38D1"/>
    <w:rsid w:val="00BE444D"/>
    <w:rsid w:val="00BE48C2"/>
    <w:rsid w:val="00BE4E9E"/>
    <w:rsid w:val="00BE5B1B"/>
    <w:rsid w:val="00BE5EEF"/>
    <w:rsid w:val="00BE6015"/>
    <w:rsid w:val="00BE608C"/>
    <w:rsid w:val="00BE6215"/>
    <w:rsid w:val="00BE78ED"/>
    <w:rsid w:val="00BF05BB"/>
    <w:rsid w:val="00BF0D48"/>
    <w:rsid w:val="00BF225F"/>
    <w:rsid w:val="00BF2553"/>
    <w:rsid w:val="00BF2EB6"/>
    <w:rsid w:val="00BF2F81"/>
    <w:rsid w:val="00BF3A6E"/>
    <w:rsid w:val="00BF46F5"/>
    <w:rsid w:val="00BF4D78"/>
    <w:rsid w:val="00BF57D9"/>
    <w:rsid w:val="00BF612D"/>
    <w:rsid w:val="00BF61F5"/>
    <w:rsid w:val="00BF66BC"/>
    <w:rsid w:val="00BF7D4C"/>
    <w:rsid w:val="00C00165"/>
    <w:rsid w:val="00C014C3"/>
    <w:rsid w:val="00C01E4C"/>
    <w:rsid w:val="00C023F6"/>
    <w:rsid w:val="00C02F1B"/>
    <w:rsid w:val="00C02FF8"/>
    <w:rsid w:val="00C039D9"/>
    <w:rsid w:val="00C04102"/>
    <w:rsid w:val="00C04421"/>
    <w:rsid w:val="00C04478"/>
    <w:rsid w:val="00C04D45"/>
    <w:rsid w:val="00C0501A"/>
    <w:rsid w:val="00C063D4"/>
    <w:rsid w:val="00C0650B"/>
    <w:rsid w:val="00C06719"/>
    <w:rsid w:val="00C067D8"/>
    <w:rsid w:val="00C06E2A"/>
    <w:rsid w:val="00C07329"/>
    <w:rsid w:val="00C07AB8"/>
    <w:rsid w:val="00C07BA7"/>
    <w:rsid w:val="00C07C46"/>
    <w:rsid w:val="00C07C76"/>
    <w:rsid w:val="00C11692"/>
    <w:rsid w:val="00C1186E"/>
    <w:rsid w:val="00C12053"/>
    <w:rsid w:val="00C125B1"/>
    <w:rsid w:val="00C140D2"/>
    <w:rsid w:val="00C14652"/>
    <w:rsid w:val="00C14DEB"/>
    <w:rsid w:val="00C1501C"/>
    <w:rsid w:val="00C157BD"/>
    <w:rsid w:val="00C15811"/>
    <w:rsid w:val="00C15E92"/>
    <w:rsid w:val="00C16733"/>
    <w:rsid w:val="00C16C45"/>
    <w:rsid w:val="00C16E25"/>
    <w:rsid w:val="00C174E7"/>
    <w:rsid w:val="00C17961"/>
    <w:rsid w:val="00C1DF1A"/>
    <w:rsid w:val="00C21758"/>
    <w:rsid w:val="00C21B8E"/>
    <w:rsid w:val="00C22933"/>
    <w:rsid w:val="00C22C28"/>
    <w:rsid w:val="00C230A3"/>
    <w:rsid w:val="00C23426"/>
    <w:rsid w:val="00C234BC"/>
    <w:rsid w:val="00C23670"/>
    <w:rsid w:val="00C236C0"/>
    <w:rsid w:val="00C23B3D"/>
    <w:rsid w:val="00C245BC"/>
    <w:rsid w:val="00C24C3B"/>
    <w:rsid w:val="00C2593E"/>
    <w:rsid w:val="00C259AF"/>
    <w:rsid w:val="00C260B1"/>
    <w:rsid w:val="00C261D7"/>
    <w:rsid w:val="00C265A6"/>
    <w:rsid w:val="00C26D2B"/>
    <w:rsid w:val="00C26FA9"/>
    <w:rsid w:val="00C27330"/>
    <w:rsid w:val="00C27493"/>
    <w:rsid w:val="00C27EF2"/>
    <w:rsid w:val="00C2EB92"/>
    <w:rsid w:val="00C30676"/>
    <w:rsid w:val="00C30C19"/>
    <w:rsid w:val="00C30E0B"/>
    <w:rsid w:val="00C30EA6"/>
    <w:rsid w:val="00C30FE5"/>
    <w:rsid w:val="00C316AE"/>
    <w:rsid w:val="00C32A62"/>
    <w:rsid w:val="00C3328C"/>
    <w:rsid w:val="00C33746"/>
    <w:rsid w:val="00C3399D"/>
    <w:rsid w:val="00C33E86"/>
    <w:rsid w:val="00C34961"/>
    <w:rsid w:val="00C353C7"/>
    <w:rsid w:val="00C35890"/>
    <w:rsid w:val="00C36DCF"/>
    <w:rsid w:val="00C37876"/>
    <w:rsid w:val="00C379EA"/>
    <w:rsid w:val="00C413DA"/>
    <w:rsid w:val="00C420F6"/>
    <w:rsid w:val="00C42754"/>
    <w:rsid w:val="00C42B25"/>
    <w:rsid w:val="00C42B93"/>
    <w:rsid w:val="00C43A59"/>
    <w:rsid w:val="00C43A63"/>
    <w:rsid w:val="00C43AE8"/>
    <w:rsid w:val="00C44B41"/>
    <w:rsid w:val="00C452A8"/>
    <w:rsid w:val="00C45843"/>
    <w:rsid w:val="00C45FAA"/>
    <w:rsid w:val="00C46609"/>
    <w:rsid w:val="00C47FD5"/>
    <w:rsid w:val="00C5108E"/>
    <w:rsid w:val="00C513F5"/>
    <w:rsid w:val="00C51479"/>
    <w:rsid w:val="00C51837"/>
    <w:rsid w:val="00C519EB"/>
    <w:rsid w:val="00C51FEE"/>
    <w:rsid w:val="00C5232A"/>
    <w:rsid w:val="00C52D7C"/>
    <w:rsid w:val="00C5300E"/>
    <w:rsid w:val="00C5322F"/>
    <w:rsid w:val="00C5462C"/>
    <w:rsid w:val="00C5475E"/>
    <w:rsid w:val="00C556D2"/>
    <w:rsid w:val="00C558F7"/>
    <w:rsid w:val="00C56E34"/>
    <w:rsid w:val="00C60475"/>
    <w:rsid w:val="00C61080"/>
    <w:rsid w:val="00C615CF"/>
    <w:rsid w:val="00C6315B"/>
    <w:rsid w:val="00C64084"/>
    <w:rsid w:val="00C65E4E"/>
    <w:rsid w:val="00C65FF8"/>
    <w:rsid w:val="00C6613D"/>
    <w:rsid w:val="00C71C0A"/>
    <w:rsid w:val="00C730FA"/>
    <w:rsid w:val="00C73629"/>
    <w:rsid w:val="00C74E91"/>
    <w:rsid w:val="00C753F0"/>
    <w:rsid w:val="00C764D8"/>
    <w:rsid w:val="00C76C04"/>
    <w:rsid w:val="00C778A6"/>
    <w:rsid w:val="00C779EA"/>
    <w:rsid w:val="00C77BAA"/>
    <w:rsid w:val="00C8032E"/>
    <w:rsid w:val="00C80488"/>
    <w:rsid w:val="00C806A1"/>
    <w:rsid w:val="00C80BB7"/>
    <w:rsid w:val="00C8177D"/>
    <w:rsid w:val="00C82255"/>
    <w:rsid w:val="00C8319F"/>
    <w:rsid w:val="00C83EFC"/>
    <w:rsid w:val="00C8459C"/>
    <w:rsid w:val="00C84E46"/>
    <w:rsid w:val="00C84FC2"/>
    <w:rsid w:val="00C8545F"/>
    <w:rsid w:val="00C85983"/>
    <w:rsid w:val="00C86A3A"/>
    <w:rsid w:val="00C87325"/>
    <w:rsid w:val="00C90978"/>
    <w:rsid w:val="00C92002"/>
    <w:rsid w:val="00C92530"/>
    <w:rsid w:val="00C92624"/>
    <w:rsid w:val="00C92A77"/>
    <w:rsid w:val="00C9321D"/>
    <w:rsid w:val="00C932E8"/>
    <w:rsid w:val="00C93440"/>
    <w:rsid w:val="00C935A8"/>
    <w:rsid w:val="00C939FA"/>
    <w:rsid w:val="00C93F30"/>
    <w:rsid w:val="00C94A59"/>
    <w:rsid w:val="00C95304"/>
    <w:rsid w:val="00C955C3"/>
    <w:rsid w:val="00C95E5D"/>
    <w:rsid w:val="00C97485"/>
    <w:rsid w:val="00CA04B3"/>
    <w:rsid w:val="00CA04DF"/>
    <w:rsid w:val="00CA04F8"/>
    <w:rsid w:val="00CA0CA4"/>
    <w:rsid w:val="00CA1634"/>
    <w:rsid w:val="00CA3266"/>
    <w:rsid w:val="00CA32F2"/>
    <w:rsid w:val="00CA3692"/>
    <w:rsid w:val="00CA3F93"/>
    <w:rsid w:val="00CA47C3"/>
    <w:rsid w:val="00CA4B7B"/>
    <w:rsid w:val="00CA5AA9"/>
    <w:rsid w:val="00CA5B54"/>
    <w:rsid w:val="00CA5BF2"/>
    <w:rsid w:val="00CA6B14"/>
    <w:rsid w:val="00CA7128"/>
    <w:rsid w:val="00CB016C"/>
    <w:rsid w:val="00CB0248"/>
    <w:rsid w:val="00CB03DE"/>
    <w:rsid w:val="00CB0840"/>
    <w:rsid w:val="00CB08FC"/>
    <w:rsid w:val="00CB2226"/>
    <w:rsid w:val="00CB2F9D"/>
    <w:rsid w:val="00CB3309"/>
    <w:rsid w:val="00CB3C8D"/>
    <w:rsid w:val="00CB48E7"/>
    <w:rsid w:val="00CB4FE2"/>
    <w:rsid w:val="00CB5656"/>
    <w:rsid w:val="00CB6CC5"/>
    <w:rsid w:val="00CB725B"/>
    <w:rsid w:val="00CB77A2"/>
    <w:rsid w:val="00CB7B9F"/>
    <w:rsid w:val="00CC0651"/>
    <w:rsid w:val="00CC2383"/>
    <w:rsid w:val="00CC3D53"/>
    <w:rsid w:val="00CC4EB7"/>
    <w:rsid w:val="00CC4EE5"/>
    <w:rsid w:val="00CC520C"/>
    <w:rsid w:val="00CC5433"/>
    <w:rsid w:val="00CC569C"/>
    <w:rsid w:val="00CC5BFB"/>
    <w:rsid w:val="00CC7154"/>
    <w:rsid w:val="00CD12CD"/>
    <w:rsid w:val="00CD191D"/>
    <w:rsid w:val="00CD1B08"/>
    <w:rsid w:val="00CD1F50"/>
    <w:rsid w:val="00CD23E7"/>
    <w:rsid w:val="00CD27C2"/>
    <w:rsid w:val="00CD318A"/>
    <w:rsid w:val="00CD5791"/>
    <w:rsid w:val="00CD57B5"/>
    <w:rsid w:val="00CD5CF8"/>
    <w:rsid w:val="00CD61D9"/>
    <w:rsid w:val="00CD7796"/>
    <w:rsid w:val="00CE0D02"/>
    <w:rsid w:val="00CE0E5F"/>
    <w:rsid w:val="00CE118E"/>
    <w:rsid w:val="00CE1713"/>
    <w:rsid w:val="00CE2158"/>
    <w:rsid w:val="00CE365A"/>
    <w:rsid w:val="00CE72A9"/>
    <w:rsid w:val="00CE7CE6"/>
    <w:rsid w:val="00CE7D1A"/>
    <w:rsid w:val="00CE7E2D"/>
    <w:rsid w:val="00CF06FE"/>
    <w:rsid w:val="00CF0915"/>
    <w:rsid w:val="00CF09ED"/>
    <w:rsid w:val="00CF0C5E"/>
    <w:rsid w:val="00CF0F98"/>
    <w:rsid w:val="00CF171C"/>
    <w:rsid w:val="00CF17FA"/>
    <w:rsid w:val="00CF1AD2"/>
    <w:rsid w:val="00CF21B0"/>
    <w:rsid w:val="00CF25C3"/>
    <w:rsid w:val="00CF2BA2"/>
    <w:rsid w:val="00CF2EB8"/>
    <w:rsid w:val="00CF2EBA"/>
    <w:rsid w:val="00CF3412"/>
    <w:rsid w:val="00CF3D76"/>
    <w:rsid w:val="00CF423C"/>
    <w:rsid w:val="00CF4240"/>
    <w:rsid w:val="00CF44DC"/>
    <w:rsid w:val="00CF52CC"/>
    <w:rsid w:val="00CF5511"/>
    <w:rsid w:val="00CF57EC"/>
    <w:rsid w:val="00CF60AF"/>
    <w:rsid w:val="00CF6B47"/>
    <w:rsid w:val="00CF6E3E"/>
    <w:rsid w:val="00CF733D"/>
    <w:rsid w:val="00CF76FC"/>
    <w:rsid w:val="00D00390"/>
    <w:rsid w:val="00D00B49"/>
    <w:rsid w:val="00D00BFE"/>
    <w:rsid w:val="00D0159E"/>
    <w:rsid w:val="00D015AF"/>
    <w:rsid w:val="00D01FD2"/>
    <w:rsid w:val="00D02778"/>
    <w:rsid w:val="00D02C3E"/>
    <w:rsid w:val="00D031EF"/>
    <w:rsid w:val="00D0378C"/>
    <w:rsid w:val="00D03D0B"/>
    <w:rsid w:val="00D03FE7"/>
    <w:rsid w:val="00D042FB"/>
    <w:rsid w:val="00D046F7"/>
    <w:rsid w:val="00D04821"/>
    <w:rsid w:val="00D04A77"/>
    <w:rsid w:val="00D057D9"/>
    <w:rsid w:val="00D06565"/>
    <w:rsid w:val="00D06699"/>
    <w:rsid w:val="00D067CD"/>
    <w:rsid w:val="00D06956"/>
    <w:rsid w:val="00D06A66"/>
    <w:rsid w:val="00D0795C"/>
    <w:rsid w:val="00D106C0"/>
    <w:rsid w:val="00D106CF"/>
    <w:rsid w:val="00D10BD5"/>
    <w:rsid w:val="00D11C6C"/>
    <w:rsid w:val="00D127CB"/>
    <w:rsid w:val="00D14208"/>
    <w:rsid w:val="00D14691"/>
    <w:rsid w:val="00D15E0C"/>
    <w:rsid w:val="00D16C05"/>
    <w:rsid w:val="00D17279"/>
    <w:rsid w:val="00D17622"/>
    <w:rsid w:val="00D20513"/>
    <w:rsid w:val="00D20C99"/>
    <w:rsid w:val="00D210AE"/>
    <w:rsid w:val="00D212D4"/>
    <w:rsid w:val="00D224F7"/>
    <w:rsid w:val="00D228FA"/>
    <w:rsid w:val="00D22B4F"/>
    <w:rsid w:val="00D243AB"/>
    <w:rsid w:val="00D24AD7"/>
    <w:rsid w:val="00D25906"/>
    <w:rsid w:val="00D25C77"/>
    <w:rsid w:val="00D25D0A"/>
    <w:rsid w:val="00D25D80"/>
    <w:rsid w:val="00D26AB8"/>
    <w:rsid w:val="00D27248"/>
    <w:rsid w:val="00D27AAD"/>
    <w:rsid w:val="00D310D9"/>
    <w:rsid w:val="00D321C0"/>
    <w:rsid w:val="00D327D6"/>
    <w:rsid w:val="00D32FE4"/>
    <w:rsid w:val="00D3338F"/>
    <w:rsid w:val="00D34388"/>
    <w:rsid w:val="00D34B56"/>
    <w:rsid w:val="00D35BD3"/>
    <w:rsid w:val="00D35DFF"/>
    <w:rsid w:val="00D36020"/>
    <w:rsid w:val="00D37996"/>
    <w:rsid w:val="00D40076"/>
    <w:rsid w:val="00D401A2"/>
    <w:rsid w:val="00D40314"/>
    <w:rsid w:val="00D40BBD"/>
    <w:rsid w:val="00D41134"/>
    <w:rsid w:val="00D412D9"/>
    <w:rsid w:val="00D418E4"/>
    <w:rsid w:val="00D42689"/>
    <w:rsid w:val="00D42988"/>
    <w:rsid w:val="00D430B6"/>
    <w:rsid w:val="00D437A3"/>
    <w:rsid w:val="00D439FB"/>
    <w:rsid w:val="00D43AF9"/>
    <w:rsid w:val="00D442AC"/>
    <w:rsid w:val="00D4439B"/>
    <w:rsid w:val="00D457E7"/>
    <w:rsid w:val="00D45AF5"/>
    <w:rsid w:val="00D465E4"/>
    <w:rsid w:val="00D46A44"/>
    <w:rsid w:val="00D47307"/>
    <w:rsid w:val="00D4773F"/>
    <w:rsid w:val="00D5059D"/>
    <w:rsid w:val="00D517C1"/>
    <w:rsid w:val="00D51CB3"/>
    <w:rsid w:val="00D51E6C"/>
    <w:rsid w:val="00D5230E"/>
    <w:rsid w:val="00D5233A"/>
    <w:rsid w:val="00D52B1F"/>
    <w:rsid w:val="00D52C2C"/>
    <w:rsid w:val="00D52DA7"/>
    <w:rsid w:val="00D54507"/>
    <w:rsid w:val="00D55460"/>
    <w:rsid w:val="00D5563B"/>
    <w:rsid w:val="00D5739B"/>
    <w:rsid w:val="00D57A06"/>
    <w:rsid w:val="00D57C86"/>
    <w:rsid w:val="00D602EC"/>
    <w:rsid w:val="00D60380"/>
    <w:rsid w:val="00D60806"/>
    <w:rsid w:val="00D6092C"/>
    <w:rsid w:val="00D60D8A"/>
    <w:rsid w:val="00D6101D"/>
    <w:rsid w:val="00D6131C"/>
    <w:rsid w:val="00D61C5C"/>
    <w:rsid w:val="00D61D63"/>
    <w:rsid w:val="00D626B5"/>
    <w:rsid w:val="00D6292A"/>
    <w:rsid w:val="00D6312D"/>
    <w:rsid w:val="00D6369A"/>
    <w:rsid w:val="00D636AB"/>
    <w:rsid w:val="00D641D8"/>
    <w:rsid w:val="00D64EFC"/>
    <w:rsid w:val="00D652F6"/>
    <w:rsid w:val="00D66599"/>
    <w:rsid w:val="00D66680"/>
    <w:rsid w:val="00D676F1"/>
    <w:rsid w:val="00D714FC"/>
    <w:rsid w:val="00D72CA0"/>
    <w:rsid w:val="00D733F2"/>
    <w:rsid w:val="00D735F6"/>
    <w:rsid w:val="00D7392A"/>
    <w:rsid w:val="00D741EC"/>
    <w:rsid w:val="00D7432F"/>
    <w:rsid w:val="00D74852"/>
    <w:rsid w:val="00D748CD"/>
    <w:rsid w:val="00D763C4"/>
    <w:rsid w:val="00D767B3"/>
    <w:rsid w:val="00D80673"/>
    <w:rsid w:val="00D82013"/>
    <w:rsid w:val="00D831F7"/>
    <w:rsid w:val="00D838B6"/>
    <w:rsid w:val="00D83C52"/>
    <w:rsid w:val="00D85221"/>
    <w:rsid w:val="00D852BF"/>
    <w:rsid w:val="00D8547A"/>
    <w:rsid w:val="00D85F06"/>
    <w:rsid w:val="00D86B02"/>
    <w:rsid w:val="00D86D11"/>
    <w:rsid w:val="00D90D16"/>
    <w:rsid w:val="00D90F39"/>
    <w:rsid w:val="00D916F2"/>
    <w:rsid w:val="00D92D4E"/>
    <w:rsid w:val="00D930E6"/>
    <w:rsid w:val="00D94B06"/>
    <w:rsid w:val="00D94C96"/>
    <w:rsid w:val="00D94D94"/>
    <w:rsid w:val="00D95448"/>
    <w:rsid w:val="00D9721C"/>
    <w:rsid w:val="00D97466"/>
    <w:rsid w:val="00D976C3"/>
    <w:rsid w:val="00D97BF2"/>
    <w:rsid w:val="00DA0B30"/>
    <w:rsid w:val="00DA13DF"/>
    <w:rsid w:val="00DA152F"/>
    <w:rsid w:val="00DA163B"/>
    <w:rsid w:val="00DA16C0"/>
    <w:rsid w:val="00DA29CF"/>
    <w:rsid w:val="00DA2A53"/>
    <w:rsid w:val="00DA2AD9"/>
    <w:rsid w:val="00DA2F2D"/>
    <w:rsid w:val="00DA3264"/>
    <w:rsid w:val="00DA328A"/>
    <w:rsid w:val="00DA3A8A"/>
    <w:rsid w:val="00DA4A19"/>
    <w:rsid w:val="00DA50D3"/>
    <w:rsid w:val="00DA515F"/>
    <w:rsid w:val="00DA5EE3"/>
    <w:rsid w:val="00DA6206"/>
    <w:rsid w:val="00DA643A"/>
    <w:rsid w:val="00DA6A10"/>
    <w:rsid w:val="00DA6E68"/>
    <w:rsid w:val="00DA6E86"/>
    <w:rsid w:val="00DA758F"/>
    <w:rsid w:val="00DA7C58"/>
    <w:rsid w:val="00DB0E06"/>
    <w:rsid w:val="00DB1067"/>
    <w:rsid w:val="00DB1C01"/>
    <w:rsid w:val="00DB2694"/>
    <w:rsid w:val="00DB3EC1"/>
    <w:rsid w:val="00DB4F4D"/>
    <w:rsid w:val="00DB4FC4"/>
    <w:rsid w:val="00DB56B5"/>
    <w:rsid w:val="00DB5A48"/>
    <w:rsid w:val="00DB7536"/>
    <w:rsid w:val="00DB7E46"/>
    <w:rsid w:val="00DC03A5"/>
    <w:rsid w:val="00DC0771"/>
    <w:rsid w:val="00DC09CC"/>
    <w:rsid w:val="00DC0DFD"/>
    <w:rsid w:val="00DC174B"/>
    <w:rsid w:val="00DC1B1A"/>
    <w:rsid w:val="00DC1C0A"/>
    <w:rsid w:val="00DC3243"/>
    <w:rsid w:val="00DC469A"/>
    <w:rsid w:val="00DC5943"/>
    <w:rsid w:val="00DC5AB7"/>
    <w:rsid w:val="00DC5C02"/>
    <w:rsid w:val="00DC66A6"/>
    <w:rsid w:val="00DC72A1"/>
    <w:rsid w:val="00DD0A05"/>
    <w:rsid w:val="00DD29DC"/>
    <w:rsid w:val="00DD2CCA"/>
    <w:rsid w:val="00DD34B6"/>
    <w:rsid w:val="00DD3E85"/>
    <w:rsid w:val="00DD4011"/>
    <w:rsid w:val="00DD4187"/>
    <w:rsid w:val="00DD4737"/>
    <w:rsid w:val="00DD4CBB"/>
    <w:rsid w:val="00DD5532"/>
    <w:rsid w:val="00DD59EE"/>
    <w:rsid w:val="00DD6FDF"/>
    <w:rsid w:val="00DD75CF"/>
    <w:rsid w:val="00DD7B7E"/>
    <w:rsid w:val="00DD7D67"/>
    <w:rsid w:val="00DD7FBD"/>
    <w:rsid w:val="00DE0254"/>
    <w:rsid w:val="00DE0674"/>
    <w:rsid w:val="00DE1105"/>
    <w:rsid w:val="00DE1D0E"/>
    <w:rsid w:val="00DE2713"/>
    <w:rsid w:val="00DE28A1"/>
    <w:rsid w:val="00DE2974"/>
    <w:rsid w:val="00DE2CD5"/>
    <w:rsid w:val="00DE2D45"/>
    <w:rsid w:val="00DE326C"/>
    <w:rsid w:val="00DE393F"/>
    <w:rsid w:val="00DE45D4"/>
    <w:rsid w:val="00DE48BA"/>
    <w:rsid w:val="00DE4B2C"/>
    <w:rsid w:val="00DE4E20"/>
    <w:rsid w:val="00DE5381"/>
    <w:rsid w:val="00DE53C0"/>
    <w:rsid w:val="00DE645D"/>
    <w:rsid w:val="00DE668E"/>
    <w:rsid w:val="00DE7081"/>
    <w:rsid w:val="00DE767F"/>
    <w:rsid w:val="00DF07D8"/>
    <w:rsid w:val="00DF129F"/>
    <w:rsid w:val="00DF1757"/>
    <w:rsid w:val="00DF1878"/>
    <w:rsid w:val="00DF20A2"/>
    <w:rsid w:val="00DF2639"/>
    <w:rsid w:val="00DF309A"/>
    <w:rsid w:val="00DF399A"/>
    <w:rsid w:val="00DF3AE2"/>
    <w:rsid w:val="00DF4160"/>
    <w:rsid w:val="00DF43C3"/>
    <w:rsid w:val="00DF4E6C"/>
    <w:rsid w:val="00DF5AA2"/>
    <w:rsid w:val="00DF5D6C"/>
    <w:rsid w:val="00DF6FF0"/>
    <w:rsid w:val="00DF7ACD"/>
    <w:rsid w:val="00E00801"/>
    <w:rsid w:val="00E0080B"/>
    <w:rsid w:val="00E00F3A"/>
    <w:rsid w:val="00E010BF"/>
    <w:rsid w:val="00E0123B"/>
    <w:rsid w:val="00E01634"/>
    <w:rsid w:val="00E01925"/>
    <w:rsid w:val="00E0299C"/>
    <w:rsid w:val="00E02A0E"/>
    <w:rsid w:val="00E02AE8"/>
    <w:rsid w:val="00E02F02"/>
    <w:rsid w:val="00E033E1"/>
    <w:rsid w:val="00E03412"/>
    <w:rsid w:val="00E03887"/>
    <w:rsid w:val="00E03A4D"/>
    <w:rsid w:val="00E04398"/>
    <w:rsid w:val="00E044D2"/>
    <w:rsid w:val="00E059C9"/>
    <w:rsid w:val="00E05C32"/>
    <w:rsid w:val="00E063CB"/>
    <w:rsid w:val="00E07ACB"/>
    <w:rsid w:val="00E10765"/>
    <w:rsid w:val="00E10955"/>
    <w:rsid w:val="00E11509"/>
    <w:rsid w:val="00E1151F"/>
    <w:rsid w:val="00E123C8"/>
    <w:rsid w:val="00E133C2"/>
    <w:rsid w:val="00E13573"/>
    <w:rsid w:val="00E13CC8"/>
    <w:rsid w:val="00E13E93"/>
    <w:rsid w:val="00E16DBD"/>
    <w:rsid w:val="00E16DD2"/>
    <w:rsid w:val="00E170F2"/>
    <w:rsid w:val="00E2072D"/>
    <w:rsid w:val="00E208A5"/>
    <w:rsid w:val="00E20B3A"/>
    <w:rsid w:val="00E20D93"/>
    <w:rsid w:val="00E21369"/>
    <w:rsid w:val="00E23886"/>
    <w:rsid w:val="00E23906"/>
    <w:rsid w:val="00E239BB"/>
    <w:rsid w:val="00E23D55"/>
    <w:rsid w:val="00E24498"/>
    <w:rsid w:val="00E24C29"/>
    <w:rsid w:val="00E26199"/>
    <w:rsid w:val="00E2691A"/>
    <w:rsid w:val="00E3026A"/>
    <w:rsid w:val="00E3033A"/>
    <w:rsid w:val="00E3056D"/>
    <w:rsid w:val="00E30788"/>
    <w:rsid w:val="00E30A58"/>
    <w:rsid w:val="00E31A64"/>
    <w:rsid w:val="00E31B6C"/>
    <w:rsid w:val="00E326BA"/>
    <w:rsid w:val="00E3365B"/>
    <w:rsid w:val="00E33755"/>
    <w:rsid w:val="00E3499E"/>
    <w:rsid w:val="00E34A7B"/>
    <w:rsid w:val="00E34D7B"/>
    <w:rsid w:val="00E35AA1"/>
    <w:rsid w:val="00E35D6B"/>
    <w:rsid w:val="00E35E64"/>
    <w:rsid w:val="00E3621C"/>
    <w:rsid w:val="00E3627F"/>
    <w:rsid w:val="00E365A2"/>
    <w:rsid w:val="00E36629"/>
    <w:rsid w:val="00E377DD"/>
    <w:rsid w:val="00E37C71"/>
    <w:rsid w:val="00E40555"/>
    <w:rsid w:val="00E41023"/>
    <w:rsid w:val="00E414DE"/>
    <w:rsid w:val="00E41F13"/>
    <w:rsid w:val="00E42F9D"/>
    <w:rsid w:val="00E437A1"/>
    <w:rsid w:val="00E4498A"/>
    <w:rsid w:val="00E44BA8"/>
    <w:rsid w:val="00E45319"/>
    <w:rsid w:val="00E4563A"/>
    <w:rsid w:val="00E45C50"/>
    <w:rsid w:val="00E46E76"/>
    <w:rsid w:val="00E47134"/>
    <w:rsid w:val="00E471C2"/>
    <w:rsid w:val="00E471F8"/>
    <w:rsid w:val="00E47269"/>
    <w:rsid w:val="00E5047F"/>
    <w:rsid w:val="00E50721"/>
    <w:rsid w:val="00E50D56"/>
    <w:rsid w:val="00E51378"/>
    <w:rsid w:val="00E51BD5"/>
    <w:rsid w:val="00E52011"/>
    <w:rsid w:val="00E529AA"/>
    <w:rsid w:val="00E52A89"/>
    <w:rsid w:val="00E52FBA"/>
    <w:rsid w:val="00E52FCC"/>
    <w:rsid w:val="00E5454A"/>
    <w:rsid w:val="00E54FDE"/>
    <w:rsid w:val="00E574DE"/>
    <w:rsid w:val="00E57575"/>
    <w:rsid w:val="00E5778E"/>
    <w:rsid w:val="00E57D53"/>
    <w:rsid w:val="00E602B9"/>
    <w:rsid w:val="00E609DB"/>
    <w:rsid w:val="00E614A9"/>
    <w:rsid w:val="00E61744"/>
    <w:rsid w:val="00E63A8F"/>
    <w:rsid w:val="00E63BEB"/>
    <w:rsid w:val="00E64869"/>
    <w:rsid w:val="00E64BA5"/>
    <w:rsid w:val="00E66425"/>
    <w:rsid w:val="00E667DF"/>
    <w:rsid w:val="00E66A96"/>
    <w:rsid w:val="00E66EB9"/>
    <w:rsid w:val="00E674B5"/>
    <w:rsid w:val="00E67F7D"/>
    <w:rsid w:val="00E7007F"/>
    <w:rsid w:val="00E70994"/>
    <w:rsid w:val="00E70D56"/>
    <w:rsid w:val="00E70F3F"/>
    <w:rsid w:val="00E7179A"/>
    <w:rsid w:val="00E71F28"/>
    <w:rsid w:val="00E723CC"/>
    <w:rsid w:val="00E727F3"/>
    <w:rsid w:val="00E72A94"/>
    <w:rsid w:val="00E72FA9"/>
    <w:rsid w:val="00E73160"/>
    <w:rsid w:val="00E738C7"/>
    <w:rsid w:val="00E73CF5"/>
    <w:rsid w:val="00E73DD5"/>
    <w:rsid w:val="00E73FCC"/>
    <w:rsid w:val="00E74B36"/>
    <w:rsid w:val="00E7616D"/>
    <w:rsid w:val="00E76399"/>
    <w:rsid w:val="00E773AB"/>
    <w:rsid w:val="00E77620"/>
    <w:rsid w:val="00E80026"/>
    <w:rsid w:val="00E8073D"/>
    <w:rsid w:val="00E811D7"/>
    <w:rsid w:val="00E819D9"/>
    <w:rsid w:val="00E819ED"/>
    <w:rsid w:val="00E8222D"/>
    <w:rsid w:val="00E822B4"/>
    <w:rsid w:val="00E82E43"/>
    <w:rsid w:val="00E84EF3"/>
    <w:rsid w:val="00E86D85"/>
    <w:rsid w:val="00E875A9"/>
    <w:rsid w:val="00E878DF"/>
    <w:rsid w:val="00E87E8F"/>
    <w:rsid w:val="00E901CC"/>
    <w:rsid w:val="00E9029F"/>
    <w:rsid w:val="00E91C46"/>
    <w:rsid w:val="00E921EC"/>
    <w:rsid w:val="00E92715"/>
    <w:rsid w:val="00E9427F"/>
    <w:rsid w:val="00E943E5"/>
    <w:rsid w:val="00E94919"/>
    <w:rsid w:val="00E94B18"/>
    <w:rsid w:val="00E95D35"/>
    <w:rsid w:val="00E95E3C"/>
    <w:rsid w:val="00E971C0"/>
    <w:rsid w:val="00E97528"/>
    <w:rsid w:val="00E975D9"/>
    <w:rsid w:val="00E97871"/>
    <w:rsid w:val="00E97C60"/>
    <w:rsid w:val="00E97DBB"/>
    <w:rsid w:val="00EA058A"/>
    <w:rsid w:val="00EA17FF"/>
    <w:rsid w:val="00EA1D7C"/>
    <w:rsid w:val="00EA244B"/>
    <w:rsid w:val="00EA2506"/>
    <w:rsid w:val="00EA27DE"/>
    <w:rsid w:val="00EA2B8C"/>
    <w:rsid w:val="00EA4958"/>
    <w:rsid w:val="00EA55C3"/>
    <w:rsid w:val="00EA57C5"/>
    <w:rsid w:val="00EA62CB"/>
    <w:rsid w:val="00EA6400"/>
    <w:rsid w:val="00EA773E"/>
    <w:rsid w:val="00EA7A0F"/>
    <w:rsid w:val="00EA7CAB"/>
    <w:rsid w:val="00EA7E36"/>
    <w:rsid w:val="00EB0954"/>
    <w:rsid w:val="00EB11D2"/>
    <w:rsid w:val="00EB137D"/>
    <w:rsid w:val="00EB13E5"/>
    <w:rsid w:val="00EB1916"/>
    <w:rsid w:val="00EB2162"/>
    <w:rsid w:val="00EB2164"/>
    <w:rsid w:val="00EB227F"/>
    <w:rsid w:val="00EB26FB"/>
    <w:rsid w:val="00EB3090"/>
    <w:rsid w:val="00EB3242"/>
    <w:rsid w:val="00EB3ADB"/>
    <w:rsid w:val="00EB3C49"/>
    <w:rsid w:val="00EB44BE"/>
    <w:rsid w:val="00EB4E8B"/>
    <w:rsid w:val="00EB563E"/>
    <w:rsid w:val="00EB5DB9"/>
    <w:rsid w:val="00EB5DD7"/>
    <w:rsid w:val="00EB67D5"/>
    <w:rsid w:val="00EC0518"/>
    <w:rsid w:val="00EC0A41"/>
    <w:rsid w:val="00EC27F1"/>
    <w:rsid w:val="00EC411B"/>
    <w:rsid w:val="00EC45C5"/>
    <w:rsid w:val="00EC470F"/>
    <w:rsid w:val="00EC483D"/>
    <w:rsid w:val="00EC4D47"/>
    <w:rsid w:val="00EC54DB"/>
    <w:rsid w:val="00EC648E"/>
    <w:rsid w:val="00EC6E74"/>
    <w:rsid w:val="00EC75F4"/>
    <w:rsid w:val="00EC7A5A"/>
    <w:rsid w:val="00EC7E21"/>
    <w:rsid w:val="00EC7ED4"/>
    <w:rsid w:val="00ED013C"/>
    <w:rsid w:val="00ED127D"/>
    <w:rsid w:val="00ED148F"/>
    <w:rsid w:val="00ED169D"/>
    <w:rsid w:val="00ED307F"/>
    <w:rsid w:val="00ED462E"/>
    <w:rsid w:val="00ED50FB"/>
    <w:rsid w:val="00ED5154"/>
    <w:rsid w:val="00ED59A6"/>
    <w:rsid w:val="00ED5DAC"/>
    <w:rsid w:val="00ED6418"/>
    <w:rsid w:val="00ED75C9"/>
    <w:rsid w:val="00ED7FD8"/>
    <w:rsid w:val="00EE079A"/>
    <w:rsid w:val="00EE1015"/>
    <w:rsid w:val="00EE19AE"/>
    <w:rsid w:val="00EE22AB"/>
    <w:rsid w:val="00EE25FC"/>
    <w:rsid w:val="00EE273D"/>
    <w:rsid w:val="00EE3797"/>
    <w:rsid w:val="00EE38F1"/>
    <w:rsid w:val="00EE3A7C"/>
    <w:rsid w:val="00EE3FC4"/>
    <w:rsid w:val="00EE3FD0"/>
    <w:rsid w:val="00EE54C6"/>
    <w:rsid w:val="00EE6A2D"/>
    <w:rsid w:val="00EE6C01"/>
    <w:rsid w:val="00EE7262"/>
    <w:rsid w:val="00EF03B7"/>
    <w:rsid w:val="00EF03C7"/>
    <w:rsid w:val="00EF0CB4"/>
    <w:rsid w:val="00EF0F77"/>
    <w:rsid w:val="00EF1467"/>
    <w:rsid w:val="00EF151E"/>
    <w:rsid w:val="00EF15F5"/>
    <w:rsid w:val="00EF1D54"/>
    <w:rsid w:val="00EF320D"/>
    <w:rsid w:val="00EF366D"/>
    <w:rsid w:val="00EF3E11"/>
    <w:rsid w:val="00EF3F01"/>
    <w:rsid w:val="00EF4025"/>
    <w:rsid w:val="00EF40DE"/>
    <w:rsid w:val="00EF44B4"/>
    <w:rsid w:val="00EF4AC4"/>
    <w:rsid w:val="00EF5DFE"/>
    <w:rsid w:val="00EF5F6A"/>
    <w:rsid w:val="00EF60C8"/>
    <w:rsid w:val="00EF60ED"/>
    <w:rsid w:val="00EF6B94"/>
    <w:rsid w:val="00EF756A"/>
    <w:rsid w:val="00EF792F"/>
    <w:rsid w:val="00EF7B97"/>
    <w:rsid w:val="00F00716"/>
    <w:rsid w:val="00F00AC1"/>
    <w:rsid w:val="00F01ABD"/>
    <w:rsid w:val="00F03269"/>
    <w:rsid w:val="00F03679"/>
    <w:rsid w:val="00F041F5"/>
    <w:rsid w:val="00F043FD"/>
    <w:rsid w:val="00F04D6A"/>
    <w:rsid w:val="00F0542E"/>
    <w:rsid w:val="00F055C3"/>
    <w:rsid w:val="00F06995"/>
    <w:rsid w:val="00F10277"/>
    <w:rsid w:val="00F10E83"/>
    <w:rsid w:val="00F10FE0"/>
    <w:rsid w:val="00F12039"/>
    <w:rsid w:val="00F1274C"/>
    <w:rsid w:val="00F12D1B"/>
    <w:rsid w:val="00F13073"/>
    <w:rsid w:val="00F141AA"/>
    <w:rsid w:val="00F14916"/>
    <w:rsid w:val="00F149D8"/>
    <w:rsid w:val="00F14CDE"/>
    <w:rsid w:val="00F15B1A"/>
    <w:rsid w:val="00F16981"/>
    <w:rsid w:val="00F1716C"/>
    <w:rsid w:val="00F20825"/>
    <w:rsid w:val="00F20845"/>
    <w:rsid w:val="00F20D56"/>
    <w:rsid w:val="00F20D78"/>
    <w:rsid w:val="00F20EDE"/>
    <w:rsid w:val="00F21083"/>
    <w:rsid w:val="00F21A91"/>
    <w:rsid w:val="00F21F69"/>
    <w:rsid w:val="00F22236"/>
    <w:rsid w:val="00F225CA"/>
    <w:rsid w:val="00F23566"/>
    <w:rsid w:val="00F23DC0"/>
    <w:rsid w:val="00F242CA"/>
    <w:rsid w:val="00F2463C"/>
    <w:rsid w:val="00F24B48"/>
    <w:rsid w:val="00F254F4"/>
    <w:rsid w:val="00F272BC"/>
    <w:rsid w:val="00F27F97"/>
    <w:rsid w:val="00F30EF9"/>
    <w:rsid w:val="00F31288"/>
    <w:rsid w:val="00F3134D"/>
    <w:rsid w:val="00F31526"/>
    <w:rsid w:val="00F315A4"/>
    <w:rsid w:val="00F32805"/>
    <w:rsid w:val="00F32C12"/>
    <w:rsid w:val="00F33745"/>
    <w:rsid w:val="00F33753"/>
    <w:rsid w:val="00F337A5"/>
    <w:rsid w:val="00F3390F"/>
    <w:rsid w:val="00F33940"/>
    <w:rsid w:val="00F35E42"/>
    <w:rsid w:val="00F3646D"/>
    <w:rsid w:val="00F40A6D"/>
    <w:rsid w:val="00F40C2B"/>
    <w:rsid w:val="00F40FA5"/>
    <w:rsid w:val="00F41A87"/>
    <w:rsid w:val="00F41ECD"/>
    <w:rsid w:val="00F42099"/>
    <w:rsid w:val="00F4254E"/>
    <w:rsid w:val="00F4510B"/>
    <w:rsid w:val="00F46C4C"/>
    <w:rsid w:val="00F476FD"/>
    <w:rsid w:val="00F5018D"/>
    <w:rsid w:val="00F501CF"/>
    <w:rsid w:val="00F50306"/>
    <w:rsid w:val="00F505D1"/>
    <w:rsid w:val="00F50CAC"/>
    <w:rsid w:val="00F50CEE"/>
    <w:rsid w:val="00F51D0D"/>
    <w:rsid w:val="00F52167"/>
    <w:rsid w:val="00F53C45"/>
    <w:rsid w:val="00F5403B"/>
    <w:rsid w:val="00F54042"/>
    <w:rsid w:val="00F55AA6"/>
    <w:rsid w:val="00F55B84"/>
    <w:rsid w:val="00F56675"/>
    <w:rsid w:val="00F56A0D"/>
    <w:rsid w:val="00F56F2A"/>
    <w:rsid w:val="00F57AA4"/>
    <w:rsid w:val="00F600DB"/>
    <w:rsid w:val="00F60348"/>
    <w:rsid w:val="00F6103C"/>
    <w:rsid w:val="00F61827"/>
    <w:rsid w:val="00F636C8"/>
    <w:rsid w:val="00F63A56"/>
    <w:rsid w:val="00F64038"/>
    <w:rsid w:val="00F64329"/>
    <w:rsid w:val="00F64980"/>
    <w:rsid w:val="00F64A01"/>
    <w:rsid w:val="00F6569E"/>
    <w:rsid w:val="00F67379"/>
    <w:rsid w:val="00F675E6"/>
    <w:rsid w:val="00F6764D"/>
    <w:rsid w:val="00F70485"/>
    <w:rsid w:val="00F70960"/>
    <w:rsid w:val="00F70C47"/>
    <w:rsid w:val="00F71777"/>
    <w:rsid w:val="00F7275A"/>
    <w:rsid w:val="00F73DA8"/>
    <w:rsid w:val="00F73DB3"/>
    <w:rsid w:val="00F747D8"/>
    <w:rsid w:val="00F74B79"/>
    <w:rsid w:val="00F75828"/>
    <w:rsid w:val="00F76090"/>
    <w:rsid w:val="00F76230"/>
    <w:rsid w:val="00F76302"/>
    <w:rsid w:val="00F7699C"/>
    <w:rsid w:val="00F7779A"/>
    <w:rsid w:val="00F77DC3"/>
    <w:rsid w:val="00F8039D"/>
    <w:rsid w:val="00F813A6"/>
    <w:rsid w:val="00F82862"/>
    <w:rsid w:val="00F82A8E"/>
    <w:rsid w:val="00F82DB6"/>
    <w:rsid w:val="00F835B0"/>
    <w:rsid w:val="00F836BD"/>
    <w:rsid w:val="00F837FE"/>
    <w:rsid w:val="00F83C6D"/>
    <w:rsid w:val="00F85372"/>
    <w:rsid w:val="00F8537E"/>
    <w:rsid w:val="00F85D81"/>
    <w:rsid w:val="00F8647C"/>
    <w:rsid w:val="00F865AE"/>
    <w:rsid w:val="00F86912"/>
    <w:rsid w:val="00F86A72"/>
    <w:rsid w:val="00F8715A"/>
    <w:rsid w:val="00F877CF"/>
    <w:rsid w:val="00F90573"/>
    <w:rsid w:val="00F91461"/>
    <w:rsid w:val="00F9218A"/>
    <w:rsid w:val="00F922FB"/>
    <w:rsid w:val="00F928EF"/>
    <w:rsid w:val="00F92FF2"/>
    <w:rsid w:val="00F95E79"/>
    <w:rsid w:val="00F964FB"/>
    <w:rsid w:val="00F96F4D"/>
    <w:rsid w:val="00F97189"/>
    <w:rsid w:val="00F97A74"/>
    <w:rsid w:val="00FA00DB"/>
    <w:rsid w:val="00FA090B"/>
    <w:rsid w:val="00FA0A7F"/>
    <w:rsid w:val="00FA1A75"/>
    <w:rsid w:val="00FA202F"/>
    <w:rsid w:val="00FA20AE"/>
    <w:rsid w:val="00FA24A7"/>
    <w:rsid w:val="00FA2CA7"/>
    <w:rsid w:val="00FA31AE"/>
    <w:rsid w:val="00FA34A7"/>
    <w:rsid w:val="00FA36E1"/>
    <w:rsid w:val="00FA38D5"/>
    <w:rsid w:val="00FA4ACF"/>
    <w:rsid w:val="00FA5CF0"/>
    <w:rsid w:val="00FA60ED"/>
    <w:rsid w:val="00FA65B1"/>
    <w:rsid w:val="00FA675E"/>
    <w:rsid w:val="00FA7828"/>
    <w:rsid w:val="00FA79CA"/>
    <w:rsid w:val="00FA7C88"/>
    <w:rsid w:val="00FA7EB5"/>
    <w:rsid w:val="00FB0145"/>
    <w:rsid w:val="00FB0B8A"/>
    <w:rsid w:val="00FB152B"/>
    <w:rsid w:val="00FB18C9"/>
    <w:rsid w:val="00FB2011"/>
    <w:rsid w:val="00FB2516"/>
    <w:rsid w:val="00FB2D63"/>
    <w:rsid w:val="00FB2E85"/>
    <w:rsid w:val="00FB300D"/>
    <w:rsid w:val="00FB3AAC"/>
    <w:rsid w:val="00FB42F0"/>
    <w:rsid w:val="00FB53F0"/>
    <w:rsid w:val="00FB5A7E"/>
    <w:rsid w:val="00FB6052"/>
    <w:rsid w:val="00FB757C"/>
    <w:rsid w:val="00FB7FF6"/>
    <w:rsid w:val="00FC06AE"/>
    <w:rsid w:val="00FC11A4"/>
    <w:rsid w:val="00FC12C8"/>
    <w:rsid w:val="00FC15CA"/>
    <w:rsid w:val="00FC164C"/>
    <w:rsid w:val="00FC27E8"/>
    <w:rsid w:val="00FC2D2E"/>
    <w:rsid w:val="00FC57A4"/>
    <w:rsid w:val="00FC5AE6"/>
    <w:rsid w:val="00FC5F79"/>
    <w:rsid w:val="00FC6B46"/>
    <w:rsid w:val="00FC6CCA"/>
    <w:rsid w:val="00FC76E1"/>
    <w:rsid w:val="00FC77FA"/>
    <w:rsid w:val="00FC7862"/>
    <w:rsid w:val="00FC7B5A"/>
    <w:rsid w:val="00FD0874"/>
    <w:rsid w:val="00FD092E"/>
    <w:rsid w:val="00FD0AEF"/>
    <w:rsid w:val="00FD20AA"/>
    <w:rsid w:val="00FD26E3"/>
    <w:rsid w:val="00FD42E2"/>
    <w:rsid w:val="00FD433C"/>
    <w:rsid w:val="00FD4F8B"/>
    <w:rsid w:val="00FD662A"/>
    <w:rsid w:val="00FD6D8A"/>
    <w:rsid w:val="00FD71AF"/>
    <w:rsid w:val="00FD7268"/>
    <w:rsid w:val="00FE0226"/>
    <w:rsid w:val="00FE0588"/>
    <w:rsid w:val="00FE0719"/>
    <w:rsid w:val="00FE079B"/>
    <w:rsid w:val="00FE0E36"/>
    <w:rsid w:val="00FE100F"/>
    <w:rsid w:val="00FE196B"/>
    <w:rsid w:val="00FE1D44"/>
    <w:rsid w:val="00FE2051"/>
    <w:rsid w:val="00FE2673"/>
    <w:rsid w:val="00FE2685"/>
    <w:rsid w:val="00FE2DAE"/>
    <w:rsid w:val="00FE32C5"/>
    <w:rsid w:val="00FE3DB0"/>
    <w:rsid w:val="00FE494E"/>
    <w:rsid w:val="00FE5444"/>
    <w:rsid w:val="00FE56D0"/>
    <w:rsid w:val="00FE5C69"/>
    <w:rsid w:val="00FE5D01"/>
    <w:rsid w:val="00FE5DEF"/>
    <w:rsid w:val="00FE687C"/>
    <w:rsid w:val="00FE6CBE"/>
    <w:rsid w:val="00FE70FD"/>
    <w:rsid w:val="00FE7291"/>
    <w:rsid w:val="00FE7F16"/>
    <w:rsid w:val="00FF02EB"/>
    <w:rsid w:val="00FF1012"/>
    <w:rsid w:val="00FF1323"/>
    <w:rsid w:val="00FF13AB"/>
    <w:rsid w:val="00FF1D24"/>
    <w:rsid w:val="00FF1DD9"/>
    <w:rsid w:val="00FF2DFB"/>
    <w:rsid w:val="00FF347E"/>
    <w:rsid w:val="00FF3B62"/>
    <w:rsid w:val="00FF4102"/>
    <w:rsid w:val="00FF48FE"/>
    <w:rsid w:val="00FF4986"/>
    <w:rsid w:val="00FF52ED"/>
    <w:rsid w:val="00FF61A9"/>
    <w:rsid w:val="00FF6219"/>
    <w:rsid w:val="00FF6D92"/>
    <w:rsid w:val="0103F636"/>
    <w:rsid w:val="01091DF0"/>
    <w:rsid w:val="010947FB"/>
    <w:rsid w:val="01211D93"/>
    <w:rsid w:val="012CB200"/>
    <w:rsid w:val="012DAD87"/>
    <w:rsid w:val="013C71C0"/>
    <w:rsid w:val="0149D78C"/>
    <w:rsid w:val="01545125"/>
    <w:rsid w:val="01568DB5"/>
    <w:rsid w:val="01619030"/>
    <w:rsid w:val="01684DBE"/>
    <w:rsid w:val="01779E97"/>
    <w:rsid w:val="0179F452"/>
    <w:rsid w:val="017CF48B"/>
    <w:rsid w:val="017DB867"/>
    <w:rsid w:val="018CFD0E"/>
    <w:rsid w:val="0190E0AC"/>
    <w:rsid w:val="0196E0C4"/>
    <w:rsid w:val="01A14AAB"/>
    <w:rsid w:val="01A21C24"/>
    <w:rsid w:val="01A29F8B"/>
    <w:rsid w:val="01A62499"/>
    <w:rsid w:val="01AD24A2"/>
    <w:rsid w:val="01B3801D"/>
    <w:rsid w:val="01B7BA49"/>
    <w:rsid w:val="01C17BD1"/>
    <w:rsid w:val="01E13360"/>
    <w:rsid w:val="01E30AB2"/>
    <w:rsid w:val="01E9EB4B"/>
    <w:rsid w:val="01EACF6B"/>
    <w:rsid w:val="01EC0A70"/>
    <w:rsid w:val="01EC6CB4"/>
    <w:rsid w:val="01F0ECA2"/>
    <w:rsid w:val="01F7A20A"/>
    <w:rsid w:val="01F87DD3"/>
    <w:rsid w:val="02008131"/>
    <w:rsid w:val="02056240"/>
    <w:rsid w:val="02076397"/>
    <w:rsid w:val="020AFC8F"/>
    <w:rsid w:val="020D39C2"/>
    <w:rsid w:val="020FD00C"/>
    <w:rsid w:val="02134CB7"/>
    <w:rsid w:val="021D48D6"/>
    <w:rsid w:val="021F5D04"/>
    <w:rsid w:val="02200379"/>
    <w:rsid w:val="0220153E"/>
    <w:rsid w:val="02269630"/>
    <w:rsid w:val="02285FB6"/>
    <w:rsid w:val="023374AA"/>
    <w:rsid w:val="02342E5E"/>
    <w:rsid w:val="023470C9"/>
    <w:rsid w:val="0252F69C"/>
    <w:rsid w:val="026148F8"/>
    <w:rsid w:val="0264F160"/>
    <w:rsid w:val="02658DCA"/>
    <w:rsid w:val="026B4CDD"/>
    <w:rsid w:val="02702C8E"/>
    <w:rsid w:val="02743B10"/>
    <w:rsid w:val="0276DADB"/>
    <w:rsid w:val="027D1796"/>
    <w:rsid w:val="02845460"/>
    <w:rsid w:val="029417DF"/>
    <w:rsid w:val="0294A4F7"/>
    <w:rsid w:val="029AA28F"/>
    <w:rsid w:val="029C6AE3"/>
    <w:rsid w:val="029E8B41"/>
    <w:rsid w:val="02A2B398"/>
    <w:rsid w:val="02AB9041"/>
    <w:rsid w:val="02AE6552"/>
    <w:rsid w:val="02B29432"/>
    <w:rsid w:val="02B60BA0"/>
    <w:rsid w:val="02C1CC9B"/>
    <w:rsid w:val="02C5BA13"/>
    <w:rsid w:val="02CCF790"/>
    <w:rsid w:val="02D8D8FB"/>
    <w:rsid w:val="02DA8EAC"/>
    <w:rsid w:val="02E91DDD"/>
    <w:rsid w:val="02ECE14D"/>
    <w:rsid w:val="02FFFC8D"/>
    <w:rsid w:val="0302D1AB"/>
    <w:rsid w:val="03034255"/>
    <w:rsid w:val="030475CC"/>
    <w:rsid w:val="030B7F8A"/>
    <w:rsid w:val="0315C4B3"/>
    <w:rsid w:val="03248607"/>
    <w:rsid w:val="033A1656"/>
    <w:rsid w:val="034137EF"/>
    <w:rsid w:val="03418E69"/>
    <w:rsid w:val="0343B753"/>
    <w:rsid w:val="0346B0EB"/>
    <w:rsid w:val="035123FC"/>
    <w:rsid w:val="0354C325"/>
    <w:rsid w:val="03598545"/>
    <w:rsid w:val="035DD390"/>
    <w:rsid w:val="03662311"/>
    <w:rsid w:val="03678AED"/>
    <w:rsid w:val="0368C6AB"/>
    <w:rsid w:val="0369ECC8"/>
    <w:rsid w:val="036B7976"/>
    <w:rsid w:val="036C84D6"/>
    <w:rsid w:val="036FDF44"/>
    <w:rsid w:val="03755D0E"/>
    <w:rsid w:val="0377EBDC"/>
    <w:rsid w:val="037B7064"/>
    <w:rsid w:val="037CE578"/>
    <w:rsid w:val="03835F97"/>
    <w:rsid w:val="038368D4"/>
    <w:rsid w:val="03883D15"/>
    <w:rsid w:val="038DCBC5"/>
    <w:rsid w:val="0397AB09"/>
    <w:rsid w:val="03A4A552"/>
    <w:rsid w:val="03A5463E"/>
    <w:rsid w:val="03A60242"/>
    <w:rsid w:val="03B10055"/>
    <w:rsid w:val="03B3B916"/>
    <w:rsid w:val="03B69EB4"/>
    <w:rsid w:val="03C7C053"/>
    <w:rsid w:val="03CAEEED"/>
    <w:rsid w:val="03CBDC87"/>
    <w:rsid w:val="03CD9C5C"/>
    <w:rsid w:val="03D4C531"/>
    <w:rsid w:val="03E50D43"/>
    <w:rsid w:val="03F17A44"/>
    <w:rsid w:val="03FF504B"/>
    <w:rsid w:val="0415BD84"/>
    <w:rsid w:val="041D0425"/>
    <w:rsid w:val="0420CA1F"/>
    <w:rsid w:val="0422B827"/>
    <w:rsid w:val="0426DFC3"/>
    <w:rsid w:val="042C726F"/>
    <w:rsid w:val="042DCFE9"/>
    <w:rsid w:val="04328E85"/>
    <w:rsid w:val="04379A2F"/>
    <w:rsid w:val="043C83C6"/>
    <w:rsid w:val="0440B9BB"/>
    <w:rsid w:val="044FEEF6"/>
    <w:rsid w:val="0450009F"/>
    <w:rsid w:val="04545851"/>
    <w:rsid w:val="04671672"/>
    <w:rsid w:val="046ADE43"/>
    <w:rsid w:val="04792C6E"/>
    <w:rsid w:val="047D8D3F"/>
    <w:rsid w:val="048705DB"/>
    <w:rsid w:val="048E61A4"/>
    <w:rsid w:val="049C3880"/>
    <w:rsid w:val="04A39AE6"/>
    <w:rsid w:val="04A87685"/>
    <w:rsid w:val="04A9624D"/>
    <w:rsid w:val="04B86B7E"/>
    <w:rsid w:val="04C90CD8"/>
    <w:rsid w:val="04CDEC00"/>
    <w:rsid w:val="04D88295"/>
    <w:rsid w:val="04D9C36C"/>
    <w:rsid w:val="04F23BEA"/>
    <w:rsid w:val="04F29FCE"/>
    <w:rsid w:val="04F5C33A"/>
    <w:rsid w:val="050EAD71"/>
    <w:rsid w:val="05208971"/>
    <w:rsid w:val="052328FA"/>
    <w:rsid w:val="0524DE68"/>
    <w:rsid w:val="05258705"/>
    <w:rsid w:val="0526AD17"/>
    <w:rsid w:val="052A1FE5"/>
    <w:rsid w:val="052C0D97"/>
    <w:rsid w:val="053239E2"/>
    <w:rsid w:val="0536FFED"/>
    <w:rsid w:val="054C3611"/>
    <w:rsid w:val="054CF926"/>
    <w:rsid w:val="055D2D70"/>
    <w:rsid w:val="055FF40D"/>
    <w:rsid w:val="056061F2"/>
    <w:rsid w:val="0568005F"/>
    <w:rsid w:val="056A6CAC"/>
    <w:rsid w:val="05747F88"/>
    <w:rsid w:val="0579032D"/>
    <w:rsid w:val="057B34E0"/>
    <w:rsid w:val="058401B1"/>
    <w:rsid w:val="058B6E45"/>
    <w:rsid w:val="0593F6D6"/>
    <w:rsid w:val="0595CA0E"/>
    <w:rsid w:val="059C4443"/>
    <w:rsid w:val="05A10288"/>
    <w:rsid w:val="05A13AFE"/>
    <w:rsid w:val="05A6D527"/>
    <w:rsid w:val="05B4075F"/>
    <w:rsid w:val="05BAF48C"/>
    <w:rsid w:val="05BBF522"/>
    <w:rsid w:val="05C41411"/>
    <w:rsid w:val="05C5D323"/>
    <w:rsid w:val="05CDD1DC"/>
    <w:rsid w:val="05D03253"/>
    <w:rsid w:val="05D360D2"/>
    <w:rsid w:val="05DD76F3"/>
    <w:rsid w:val="05DDCF11"/>
    <w:rsid w:val="05EE1E03"/>
    <w:rsid w:val="05EF9B6D"/>
    <w:rsid w:val="05F18922"/>
    <w:rsid w:val="05F38304"/>
    <w:rsid w:val="05FB7744"/>
    <w:rsid w:val="05FBAC0F"/>
    <w:rsid w:val="05FD5A47"/>
    <w:rsid w:val="060D6F17"/>
    <w:rsid w:val="061170C5"/>
    <w:rsid w:val="061F07AB"/>
    <w:rsid w:val="062A0221"/>
    <w:rsid w:val="062B84E1"/>
    <w:rsid w:val="0630E312"/>
    <w:rsid w:val="0632315A"/>
    <w:rsid w:val="064FBD71"/>
    <w:rsid w:val="0657862E"/>
    <w:rsid w:val="06596A05"/>
    <w:rsid w:val="065B7E60"/>
    <w:rsid w:val="066FC2C0"/>
    <w:rsid w:val="06764DA1"/>
    <w:rsid w:val="067C6F28"/>
    <w:rsid w:val="06856320"/>
    <w:rsid w:val="0693CCCC"/>
    <w:rsid w:val="06A369AC"/>
    <w:rsid w:val="06AD8329"/>
    <w:rsid w:val="06AEFECE"/>
    <w:rsid w:val="06B2D408"/>
    <w:rsid w:val="06B4A6D1"/>
    <w:rsid w:val="06B612C8"/>
    <w:rsid w:val="06C437B4"/>
    <w:rsid w:val="06D16A75"/>
    <w:rsid w:val="06D370ED"/>
    <w:rsid w:val="06D421B6"/>
    <w:rsid w:val="06DB40B4"/>
    <w:rsid w:val="06F03756"/>
    <w:rsid w:val="06FA4AFB"/>
    <w:rsid w:val="06FEF555"/>
    <w:rsid w:val="06FF74AA"/>
    <w:rsid w:val="06FF8264"/>
    <w:rsid w:val="070E954E"/>
    <w:rsid w:val="0713841D"/>
    <w:rsid w:val="071D7DF7"/>
    <w:rsid w:val="071DB803"/>
    <w:rsid w:val="0721CBDA"/>
    <w:rsid w:val="0726F108"/>
    <w:rsid w:val="0731EED6"/>
    <w:rsid w:val="07339ADB"/>
    <w:rsid w:val="07357CF6"/>
    <w:rsid w:val="07371CBB"/>
    <w:rsid w:val="0737D428"/>
    <w:rsid w:val="073A4796"/>
    <w:rsid w:val="073BC2BA"/>
    <w:rsid w:val="073D8BBB"/>
    <w:rsid w:val="07443B7F"/>
    <w:rsid w:val="0747671F"/>
    <w:rsid w:val="074797DE"/>
    <w:rsid w:val="074FC55E"/>
    <w:rsid w:val="0755BC6F"/>
    <w:rsid w:val="07566BC1"/>
    <w:rsid w:val="0758B154"/>
    <w:rsid w:val="0764B304"/>
    <w:rsid w:val="0764D394"/>
    <w:rsid w:val="076DC54A"/>
    <w:rsid w:val="07714A06"/>
    <w:rsid w:val="077B67AC"/>
    <w:rsid w:val="077F8310"/>
    <w:rsid w:val="078EEFF2"/>
    <w:rsid w:val="0793486E"/>
    <w:rsid w:val="07A1CA72"/>
    <w:rsid w:val="07A2E363"/>
    <w:rsid w:val="07B856CE"/>
    <w:rsid w:val="07D596A9"/>
    <w:rsid w:val="07D9ED4B"/>
    <w:rsid w:val="07DBB50D"/>
    <w:rsid w:val="07EA9000"/>
    <w:rsid w:val="07F8190A"/>
    <w:rsid w:val="07F870C8"/>
    <w:rsid w:val="07FAFEE2"/>
    <w:rsid w:val="080D351F"/>
    <w:rsid w:val="080E5D81"/>
    <w:rsid w:val="08102066"/>
    <w:rsid w:val="0815AB90"/>
    <w:rsid w:val="0819719B"/>
    <w:rsid w:val="081B687F"/>
    <w:rsid w:val="083A71CF"/>
    <w:rsid w:val="083C46E4"/>
    <w:rsid w:val="083C732A"/>
    <w:rsid w:val="0844258C"/>
    <w:rsid w:val="08471688"/>
    <w:rsid w:val="0848550A"/>
    <w:rsid w:val="0853C1AA"/>
    <w:rsid w:val="0865081E"/>
    <w:rsid w:val="0869010F"/>
    <w:rsid w:val="086A0D47"/>
    <w:rsid w:val="0873C1A5"/>
    <w:rsid w:val="087620E6"/>
    <w:rsid w:val="087753A5"/>
    <w:rsid w:val="0879B0E1"/>
    <w:rsid w:val="087DDE34"/>
    <w:rsid w:val="0881F146"/>
    <w:rsid w:val="0896AE20"/>
    <w:rsid w:val="08A9326A"/>
    <w:rsid w:val="08AA4C3E"/>
    <w:rsid w:val="08B1FC27"/>
    <w:rsid w:val="08B4D1EB"/>
    <w:rsid w:val="08B7FB71"/>
    <w:rsid w:val="08BF9617"/>
    <w:rsid w:val="08C34EFB"/>
    <w:rsid w:val="08C6CDBB"/>
    <w:rsid w:val="08CECD61"/>
    <w:rsid w:val="08D0B8F9"/>
    <w:rsid w:val="08D24B1E"/>
    <w:rsid w:val="08DECB33"/>
    <w:rsid w:val="08F210E0"/>
    <w:rsid w:val="08F5AAB5"/>
    <w:rsid w:val="08F926B7"/>
    <w:rsid w:val="09046A6D"/>
    <w:rsid w:val="09057327"/>
    <w:rsid w:val="0906EBED"/>
    <w:rsid w:val="090823E2"/>
    <w:rsid w:val="090B94AA"/>
    <w:rsid w:val="09175077"/>
    <w:rsid w:val="092C148E"/>
    <w:rsid w:val="0940B8EE"/>
    <w:rsid w:val="09434034"/>
    <w:rsid w:val="094D8F00"/>
    <w:rsid w:val="094FB441"/>
    <w:rsid w:val="09583FCD"/>
    <w:rsid w:val="095C7F01"/>
    <w:rsid w:val="095FA8E8"/>
    <w:rsid w:val="09613627"/>
    <w:rsid w:val="0961A1A6"/>
    <w:rsid w:val="0975BDAC"/>
    <w:rsid w:val="097683A9"/>
    <w:rsid w:val="0980A79C"/>
    <w:rsid w:val="0984896C"/>
    <w:rsid w:val="098587EC"/>
    <w:rsid w:val="0986D0D7"/>
    <w:rsid w:val="0989A42F"/>
    <w:rsid w:val="098F36A0"/>
    <w:rsid w:val="098FBCAB"/>
    <w:rsid w:val="099236FF"/>
    <w:rsid w:val="09A24FB8"/>
    <w:rsid w:val="09A2BA4D"/>
    <w:rsid w:val="09A655F1"/>
    <w:rsid w:val="09A83D3F"/>
    <w:rsid w:val="09AF2B38"/>
    <w:rsid w:val="09B84102"/>
    <w:rsid w:val="09BC3D5F"/>
    <w:rsid w:val="09BF595A"/>
    <w:rsid w:val="09C3266E"/>
    <w:rsid w:val="09C457A9"/>
    <w:rsid w:val="09CEAD80"/>
    <w:rsid w:val="09D2DDF2"/>
    <w:rsid w:val="09D4ABF5"/>
    <w:rsid w:val="09D83155"/>
    <w:rsid w:val="09DC3FFC"/>
    <w:rsid w:val="09E0C1A9"/>
    <w:rsid w:val="09E1B4D2"/>
    <w:rsid w:val="09E6C784"/>
    <w:rsid w:val="09F78E5A"/>
    <w:rsid w:val="09FA6558"/>
    <w:rsid w:val="09FBDBC8"/>
    <w:rsid w:val="09FD3B96"/>
    <w:rsid w:val="0A03D2A3"/>
    <w:rsid w:val="0A08BD89"/>
    <w:rsid w:val="0A09B53A"/>
    <w:rsid w:val="0A0EE6F1"/>
    <w:rsid w:val="0A126CB8"/>
    <w:rsid w:val="0A1635DC"/>
    <w:rsid w:val="0A176ED5"/>
    <w:rsid w:val="0A1B1387"/>
    <w:rsid w:val="0A1BC976"/>
    <w:rsid w:val="0A2009C3"/>
    <w:rsid w:val="0A2154ED"/>
    <w:rsid w:val="0A306D5A"/>
    <w:rsid w:val="0A344253"/>
    <w:rsid w:val="0A3B5EE5"/>
    <w:rsid w:val="0A45D62C"/>
    <w:rsid w:val="0A5542F1"/>
    <w:rsid w:val="0A55FFA3"/>
    <w:rsid w:val="0A5CCB46"/>
    <w:rsid w:val="0A5F3B13"/>
    <w:rsid w:val="0A6B0026"/>
    <w:rsid w:val="0A72024C"/>
    <w:rsid w:val="0A73CAC1"/>
    <w:rsid w:val="0A753394"/>
    <w:rsid w:val="0A7AB009"/>
    <w:rsid w:val="0A80CDA2"/>
    <w:rsid w:val="0A82AE3F"/>
    <w:rsid w:val="0A921787"/>
    <w:rsid w:val="0A9512BE"/>
    <w:rsid w:val="0A98403D"/>
    <w:rsid w:val="0A9BEF1F"/>
    <w:rsid w:val="0A9F95D9"/>
    <w:rsid w:val="0A9FB5DA"/>
    <w:rsid w:val="0AA5EB36"/>
    <w:rsid w:val="0AAC4535"/>
    <w:rsid w:val="0AB35140"/>
    <w:rsid w:val="0AB37919"/>
    <w:rsid w:val="0AB79E3D"/>
    <w:rsid w:val="0AB812D4"/>
    <w:rsid w:val="0AC52367"/>
    <w:rsid w:val="0AC58636"/>
    <w:rsid w:val="0AD8B504"/>
    <w:rsid w:val="0AD952EA"/>
    <w:rsid w:val="0ADCABE7"/>
    <w:rsid w:val="0ADD8BB3"/>
    <w:rsid w:val="0ADE555D"/>
    <w:rsid w:val="0AE07338"/>
    <w:rsid w:val="0AE17168"/>
    <w:rsid w:val="0AE2522A"/>
    <w:rsid w:val="0AE663B6"/>
    <w:rsid w:val="0AEBC8EB"/>
    <w:rsid w:val="0B08D929"/>
    <w:rsid w:val="0B0F6E32"/>
    <w:rsid w:val="0B1C06A9"/>
    <w:rsid w:val="0B281BE0"/>
    <w:rsid w:val="0B325E25"/>
    <w:rsid w:val="0B3681A9"/>
    <w:rsid w:val="0B3ABF00"/>
    <w:rsid w:val="0B3E2C79"/>
    <w:rsid w:val="0B3EBA14"/>
    <w:rsid w:val="0B3EBF39"/>
    <w:rsid w:val="0B406791"/>
    <w:rsid w:val="0B42B543"/>
    <w:rsid w:val="0B440DA0"/>
    <w:rsid w:val="0B48B20D"/>
    <w:rsid w:val="0B4AFBDD"/>
    <w:rsid w:val="0B4BFA1A"/>
    <w:rsid w:val="0B5E8286"/>
    <w:rsid w:val="0B656528"/>
    <w:rsid w:val="0B6B2B7B"/>
    <w:rsid w:val="0B7079F5"/>
    <w:rsid w:val="0B7E87F9"/>
    <w:rsid w:val="0B810B21"/>
    <w:rsid w:val="0B84237A"/>
    <w:rsid w:val="0B8DDD4F"/>
    <w:rsid w:val="0B917781"/>
    <w:rsid w:val="0B96913A"/>
    <w:rsid w:val="0B9B93D1"/>
    <w:rsid w:val="0B9CAE11"/>
    <w:rsid w:val="0BA255BF"/>
    <w:rsid w:val="0BA4DEBE"/>
    <w:rsid w:val="0BB0CE6C"/>
    <w:rsid w:val="0BB34DBB"/>
    <w:rsid w:val="0BB775F4"/>
    <w:rsid w:val="0BBE7D86"/>
    <w:rsid w:val="0BC18901"/>
    <w:rsid w:val="0BCA4AA2"/>
    <w:rsid w:val="0BE68786"/>
    <w:rsid w:val="0BEC9979"/>
    <w:rsid w:val="0BF23DE5"/>
    <w:rsid w:val="0BF28AD2"/>
    <w:rsid w:val="0BF46685"/>
    <w:rsid w:val="0BFFCF86"/>
    <w:rsid w:val="0C04593B"/>
    <w:rsid w:val="0C0735D8"/>
    <w:rsid w:val="0C09B2EF"/>
    <w:rsid w:val="0C1C9D3C"/>
    <w:rsid w:val="0C294AC2"/>
    <w:rsid w:val="0C31E9E4"/>
    <w:rsid w:val="0C34423D"/>
    <w:rsid w:val="0C35116C"/>
    <w:rsid w:val="0C372808"/>
    <w:rsid w:val="0C4086E3"/>
    <w:rsid w:val="0C46462D"/>
    <w:rsid w:val="0C5158B2"/>
    <w:rsid w:val="0C52532C"/>
    <w:rsid w:val="0C58BAC9"/>
    <w:rsid w:val="0C5A8A1E"/>
    <w:rsid w:val="0C5FE418"/>
    <w:rsid w:val="0C613BD6"/>
    <w:rsid w:val="0C64A03B"/>
    <w:rsid w:val="0C75018A"/>
    <w:rsid w:val="0C761109"/>
    <w:rsid w:val="0C77337B"/>
    <w:rsid w:val="0C7ED849"/>
    <w:rsid w:val="0C82EC26"/>
    <w:rsid w:val="0C8D49FD"/>
    <w:rsid w:val="0C982E61"/>
    <w:rsid w:val="0C9FFB41"/>
    <w:rsid w:val="0CA2B9A9"/>
    <w:rsid w:val="0CA8166B"/>
    <w:rsid w:val="0CAA158F"/>
    <w:rsid w:val="0CAB0CBD"/>
    <w:rsid w:val="0CB14F26"/>
    <w:rsid w:val="0CBA15C7"/>
    <w:rsid w:val="0CC1FE34"/>
    <w:rsid w:val="0CC53D69"/>
    <w:rsid w:val="0CCC4567"/>
    <w:rsid w:val="0CCC58B5"/>
    <w:rsid w:val="0CD375B6"/>
    <w:rsid w:val="0CD44832"/>
    <w:rsid w:val="0CE18E60"/>
    <w:rsid w:val="0CE7A1D2"/>
    <w:rsid w:val="0CF0A429"/>
    <w:rsid w:val="0CF689C0"/>
    <w:rsid w:val="0CF950BF"/>
    <w:rsid w:val="0CFCABB3"/>
    <w:rsid w:val="0D0AB020"/>
    <w:rsid w:val="0D0FD170"/>
    <w:rsid w:val="0D10B2B2"/>
    <w:rsid w:val="0D131F41"/>
    <w:rsid w:val="0D1972CC"/>
    <w:rsid w:val="0D1D7837"/>
    <w:rsid w:val="0D1F8952"/>
    <w:rsid w:val="0D20A62F"/>
    <w:rsid w:val="0D2288F1"/>
    <w:rsid w:val="0D22FA31"/>
    <w:rsid w:val="0D2BF903"/>
    <w:rsid w:val="0D2E783A"/>
    <w:rsid w:val="0D369B31"/>
    <w:rsid w:val="0D3B1596"/>
    <w:rsid w:val="0D3E2D04"/>
    <w:rsid w:val="0D3F2F7C"/>
    <w:rsid w:val="0D4F53A2"/>
    <w:rsid w:val="0D50FB96"/>
    <w:rsid w:val="0D534655"/>
    <w:rsid w:val="0D5F42B4"/>
    <w:rsid w:val="0D766074"/>
    <w:rsid w:val="0D76B0AE"/>
    <w:rsid w:val="0D7F8C31"/>
    <w:rsid w:val="0D89F45A"/>
    <w:rsid w:val="0D8F7523"/>
    <w:rsid w:val="0D901860"/>
    <w:rsid w:val="0D97418F"/>
    <w:rsid w:val="0DA1F5E3"/>
    <w:rsid w:val="0DA6BC3B"/>
    <w:rsid w:val="0DA7B85A"/>
    <w:rsid w:val="0DABE26F"/>
    <w:rsid w:val="0DADC60C"/>
    <w:rsid w:val="0DAEA881"/>
    <w:rsid w:val="0DB1C2C2"/>
    <w:rsid w:val="0DB21557"/>
    <w:rsid w:val="0DB65800"/>
    <w:rsid w:val="0DB70B7D"/>
    <w:rsid w:val="0DB9A59C"/>
    <w:rsid w:val="0DBB9A87"/>
    <w:rsid w:val="0DBCAFD9"/>
    <w:rsid w:val="0DC21BFE"/>
    <w:rsid w:val="0DC6672C"/>
    <w:rsid w:val="0DCB3DB4"/>
    <w:rsid w:val="0DCBD811"/>
    <w:rsid w:val="0DCC2F5F"/>
    <w:rsid w:val="0DD67335"/>
    <w:rsid w:val="0DD9B4B5"/>
    <w:rsid w:val="0DDA112B"/>
    <w:rsid w:val="0DE31628"/>
    <w:rsid w:val="0DF0C031"/>
    <w:rsid w:val="0DF46014"/>
    <w:rsid w:val="0DF7B1E7"/>
    <w:rsid w:val="0DF9A274"/>
    <w:rsid w:val="0DF9EB69"/>
    <w:rsid w:val="0DFE29C5"/>
    <w:rsid w:val="0E0A8094"/>
    <w:rsid w:val="0E151812"/>
    <w:rsid w:val="0E195E5E"/>
    <w:rsid w:val="0E1E1404"/>
    <w:rsid w:val="0E42EA64"/>
    <w:rsid w:val="0E433EC8"/>
    <w:rsid w:val="0E476FB6"/>
    <w:rsid w:val="0E49F2F1"/>
    <w:rsid w:val="0E4A34F2"/>
    <w:rsid w:val="0E57BFC0"/>
    <w:rsid w:val="0E5AB2DA"/>
    <w:rsid w:val="0E648887"/>
    <w:rsid w:val="0E68510F"/>
    <w:rsid w:val="0E6AB930"/>
    <w:rsid w:val="0E6C97B9"/>
    <w:rsid w:val="0E713C12"/>
    <w:rsid w:val="0E9FD6C1"/>
    <w:rsid w:val="0E9FE8A3"/>
    <w:rsid w:val="0EA59FC2"/>
    <w:rsid w:val="0EAF9D4C"/>
    <w:rsid w:val="0EB098CE"/>
    <w:rsid w:val="0EB2B264"/>
    <w:rsid w:val="0EB6063A"/>
    <w:rsid w:val="0EBC0B4F"/>
    <w:rsid w:val="0EBF6081"/>
    <w:rsid w:val="0ECAEBCD"/>
    <w:rsid w:val="0ECED23D"/>
    <w:rsid w:val="0ED2B494"/>
    <w:rsid w:val="0EDFA7F3"/>
    <w:rsid w:val="0EE24BEB"/>
    <w:rsid w:val="0EE2EB6A"/>
    <w:rsid w:val="0EE5B3BE"/>
    <w:rsid w:val="0EF14897"/>
    <w:rsid w:val="0EF51118"/>
    <w:rsid w:val="0EF6FC92"/>
    <w:rsid w:val="0F21FC88"/>
    <w:rsid w:val="0F249EE2"/>
    <w:rsid w:val="0F264FD7"/>
    <w:rsid w:val="0F2A8BBA"/>
    <w:rsid w:val="0F2E645F"/>
    <w:rsid w:val="0F346428"/>
    <w:rsid w:val="0F419217"/>
    <w:rsid w:val="0F48994A"/>
    <w:rsid w:val="0F4AD4DD"/>
    <w:rsid w:val="0F582829"/>
    <w:rsid w:val="0F65C252"/>
    <w:rsid w:val="0F68AB8A"/>
    <w:rsid w:val="0F69CAE0"/>
    <w:rsid w:val="0F6F9DC7"/>
    <w:rsid w:val="0F703C90"/>
    <w:rsid w:val="0F777FCC"/>
    <w:rsid w:val="0F77A63F"/>
    <w:rsid w:val="0F8E717D"/>
    <w:rsid w:val="0F96B5E1"/>
    <w:rsid w:val="0FA08270"/>
    <w:rsid w:val="0FA23C60"/>
    <w:rsid w:val="0FA43426"/>
    <w:rsid w:val="0FAA883E"/>
    <w:rsid w:val="0FAEEAE9"/>
    <w:rsid w:val="0FB8C1A2"/>
    <w:rsid w:val="0FBAF7EF"/>
    <w:rsid w:val="0FBC5DF0"/>
    <w:rsid w:val="0FBE91AB"/>
    <w:rsid w:val="0FC681AE"/>
    <w:rsid w:val="0FD6C0C3"/>
    <w:rsid w:val="0FD9837E"/>
    <w:rsid w:val="0FE8124E"/>
    <w:rsid w:val="0FEC2356"/>
    <w:rsid w:val="0FF49260"/>
    <w:rsid w:val="0FFBCB82"/>
    <w:rsid w:val="100B5CDD"/>
    <w:rsid w:val="101F5241"/>
    <w:rsid w:val="1020D51C"/>
    <w:rsid w:val="10356DBC"/>
    <w:rsid w:val="10358349"/>
    <w:rsid w:val="1046877A"/>
    <w:rsid w:val="104BC2DF"/>
    <w:rsid w:val="104BCE5F"/>
    <w:rsid w:val="104EC8B2"/>
    <w:rsid w:val="105D9D11"/>
    <w:rsid w:val="106075D8"/>
    <w:rsid w:val="1063C763"/>
    <w:rsid w:val="106ABC7F"/>
    <w:rsid w:val="10773F7C"/>
    <w:rsid w:val="107D65E1"/>
    <w:rsid w:val="108046A6"/>
    <w:rsid w:val="10940A7B"/>
    <w:rsid w:val="10AEC286"/>
    <w:rsid w:val="10B25729"/>
    <w:rsid w:val="10B4398A"/>
    <w:rsid w:val="10BA271B"/>
    <w:rsid w:val="10BE5667"/>
    <w:rsid w:val="10C276CD"/>
    <w:rsid w:val="10C63041"/>
    <w:rsid w:val="10CBF633"/>
    <w:rsid w:val="10CF4A93"/>
    <w:rsid w:val="10CF6A20"/>
    <w:rsid w:val="10DC9B13"/>
    <w:rsid w:val="10F0529D"/>
    <w:rsid w:val="10FB5E2C"/>
    <w:rsid w:val="10FC7768"/>
    <w:rsid w:val="1105A569"/>
    <w:rsid w:val="1106082F"/>
    <w:rsid w:val="110CC389"/>
    <w:rsid w:val="110D685D"/>
    <w:rsid w:val="111AA799"/>
    <w:rsid w:val="111CEE74"/>
    <w:rsid w:val="112519EB"/>
    <w:rsid w:val="11378DB8"/>
    <w:rsid w:val="114788FC"/>
    <w:rsid w:val="114BD53E"/>
    <w:rsid w:val="11539549"/>
    <w:rsid w:val="1155D77C"/>
    <w:rsid w:val="115CFF15"/>
    <w:rsid w:val="1160473E"/>
    <w:rsid w:val="116CC281"/>
    <w:rsid w:val="117332E5"/>
    <w:rsid w:val="11789C71"/>
    <w:rsid w:val="118D11BD"/>
    <w:rsid w:val="118FF99D"/>
    <w:rsid w:val="1193DC31"/>
    <w:rsid w:val="119EE284"/>
    <w:rsid w:val="11AE82B7"/>
    <w:rsid w:val="11B34F24"/>
    <w:rsid w:val="11C4023B"/>
    <w:rsid w:val="11C4B590"/>
    <w:rsid w:val="11C78D3F"/>
    <w:rsid w:val="11C7DD7F"/>
    <w:rsid w:val="11C933A7"/>
    <w:rsid w:val="11CD3A54"/>
    <w:rsid w:val="11D1D14C"/>
    <w:rsid w:val="11D39F64"/>
    <w:rsid w:val="11D67676"/>
    <w:rsid w:val="11D9E9BD"/>
    <w:rsid w:val="11DD9D3A"/>
    <w:rsid w:val="11E524B0"/>
    <w:rsid w:val="11E647AF"/>
    <w:rsid w:val="11F10E8F"/>
    <w:rsid w:val="11F1D920"/>
    <w:rsid w:val="11F7572A"/>
    <w:rsid w:val="11FA7729"/>
    <w:rsid w:val="11FF9AD5"/>
    <w:rsid w:val="1203AD80"/>
    <w:rsid w:val="1207EBE5"/>
    <w:rsid w:val="12100341"/>
    <w:rsid w:val="1227BE9A"/>
    <w:rsid w:val="12331A92"/>
    <w:rsid w:val="12375F7B"/>
    <w:rsid w:val="1237ADE1"/>
    <w:rsid w:val="12391B7A"/>
    <w:rsid w:val="124B5B42"/>
    <w:rsid w:val="125D0A4F"/>
    <w:rsid w:val="126A2844"/>
    <w:rsid w:val="1272CAD0"/>
    <w:rsid w:val="1273A199"/>
    <w:rsid w:val="128AE447"/>
    <w:rsid w:val="129763F8"/>
    <w:rsid w:val="12B89888"/>
    <w:rsid w:val="12BC9E3F"/>
    <w:rsid w:val="12C2F63E"/>
    <w:rsid w:val="12C4C740"/>
    <w:rsid w:val="12CAD49F"/>
    <w:rsid w:val="12CD2C75"/>
    <w:rsid w:val="12CE0E9A"/>
    <w:rsid w:val="12D4C1A4"/>
    <w:rsid w:val="12D7489C"/>
    <w:rsid w:val="12DDF2E0"/>
    <w:rsid w:val="12ED095B"/>
    <w:rsid w:val="12F04549"/>
    <w:rsid w:val="12F77D1A"/>
    <w:rsid w:val="12FE9E28"/>
    <w:rsid w:val="1303FE38"/>
    <w:rsid w:val="130856CC"/>
    <w:rsid w:val="130E0736"/>
    <w:rsid w:val="1311649C"/>
    <w:rsid w:val="13130F5D"/>
    <w:rsid w:val="13194AA4"/>
    <w:rsid w:val="131F3E06"/>
    <w:rsid w:val="13205189"/>
    <w:rsid w:val="13255649"/>
    <w:rsid w:val="133214DD"/>
    <w:rsid w:val="13399F39"/>
    <w:rsid w:val="1339C772"/>
    <w:rsid w:val="133B7B5B"/>
    <w:rsid w:val="13422A7F"/>
    <w:rsid w:val="13441452"/>
    <w:rsid w:val="13499E80"/>
    <w:rsid w:val="135D4E98"/>
    <w:rsid w:val="135E8F0F"/>
    <w:rsid w:val="13641138"/>
    <w:rsid w:val="136A245C"/>
    <w:rsid w:val="13717295"/>
    <w:rsid w:val="13754BBF"/>
    <w:rsid w:val="1376EF08"/>
    <w:rsid w:val="137B8755"/>
    <w:rsid w:val="137C9D8D"/>
    <w:rsid w:val="1386D7C2"/>
    <w:rsid w:val="1388B8F4"/>
    <w:rsid w:val="138E1CFF"/>
    <w:rsid w:val="138FB7D0"/>
    <w:rsid w:val="139121AB"/>
    <w:rsid w:val="1393F544"/>
    <w:rsid w:val="139B237A"/>
    <w:rsid w:val="13B0D2F7"/>
    <w:rsid w:val="13B5578B"/>
    <w:rsid w:val="13B9D3F7"/>
    <w:rsid w:val="13BC756D"/>
    <w:rsid w:val="13C7779E"/>
    <w:rsid w:val="13CDA5BA"/>
    <w:rsid w:val="13D19DAE"/>
    <w:rsid w:val="13D489B2"/>
    <w:rsid w:val="13D72A87"/>
    <w:rsid w:val="13EBC1C9"/>
    <w:rsid w:val="13F04CC2"/>
    <w:rsid w:val="13F260B6"/>
    <w:rsid w:val="1400BBF9"/>
    <w:rsid w:val="140B58B0"/>
    <w:rsid w:val="140FE3DB"/>
    <w:rsid w:val="141062E5"/>
    <w:rsid w:val="1411B2AF"/>
    <w:rsid w:val="14156E87"/>
    <w:rsid w:val="1426D744"/>
    <w:rsid w:val="142AA96F"/>
    <w:rsid w:val="143529E8"/>
    <w:rsid w:val="1435ED9F"/>
    <w:rsid w:val="14374CA9"/>
    <w:rsid w:val="1437BAE8"/>
    <w:rsid w:val="14582DB4"/>
    <w:rsid w:val="146071BF"/>
    <w:rsid w:val="14671300"/>
    <w:rsid w:val="146BFCB4"/>
    <w:rsid w:val="146EC225"/>
    <w:rsid w:val="14757446"/>
    <w:rsid w:val="1475AAE0"/>
    <w:rsid w:val="14837236"/>
    <w:rsid w:val="14977695"/>
    <w:rsid w:val="14A43602"/>
    <w:rsid w:val="14AE3CAF"/>
    <w:rsid w:val="14B29B7A"/>
    <w:rsid w:val="14B4E325"/>
    <w:rsid w:val="14B68819"/>
    <w:rsid w:val="14B9DE3E"/>
    <w:rsid w:val="14BFDECE"/>
    <w:rsid w:val="14C0473D"/>
    <w:rsid w:val="14C3CCA9"/>
    <w:rsid w:val="14CAD664"/>
    <w:rsid w:val="14D7E8FF"/>
    <w:rsid w:val="14DB49B4"/>
    <w:rsid w:val="14DDF6E8"/>
    <w:rsid w:val="14E70A89"/>
    <w:rsid w:val="14F044D4"/>
    <w:rsid w:val="14F87DF8"/>
    <w:rsid w:val="15001E62"/>
    <w:rsid w:val="1500DDA3"/>
    <w:rsid w:val="1501FFB0"/>
    <w:rsid w:val="15104735"/>
    <w:rsid w:val="151812DD"/>
    <w:rsid w:val="151A22BB"/>
    <w:rsid w:val="15205595"/>
    <w:rsid w:val="15299452"/>
    <w:rsid w:val="152AE362"/>
    <w:rsid w:val="152B629B"/>
    <w:rsid w:val="15319773"/>
    <w:rsid w:val="153375E9"/>
    <w:rsid w:val="1535B802"/>
    <w:rsid w:val="153B97A2"/>
    <w:rsid w:val="153FBFC4"/>
    <w:rsid w:val="1548689D"/>
    <w:rsid w:val="155147C1"/>
    <w:rsid w:val="1551D2FA"/>
    <w:rsid w:val="15537E61"/>
    <w:rsid w:val="155461A9"/>
    <w:rsid w:val="155D0A32"/>
    <w:rsid w:val="155D444F"/>
    <w:rsid w:val="155E861F"/>
    <w:rsid w:val="156780B7"/>
    <w:rsid w:val="15688875"/>
    <w:rsid w:val="15707DA0"/>
    <w:rsid w:val="1574AF29"/>
    <w:rsid w:val="15763787"/>
    <w:rsid w:val="157B58DC"/>
    <w:rsid w:val="157F6D27"/>
    <w:rsid w:val="157F7C88"/>
    <w:rsid w:val="1583C0C8"/>
    <w:rsid w:val="1589C76F"/>
    <w:rsid w:val="158C78BB"/>
    <w:rsid w:val="158CAA5D"/>
    <w:rsid w:val="15937BC1"/>
    <w:rsid w:val="1597B04F"/>
    <w:rsid w:val="1598B143"/>
    <w:rsid w:val="159EA3D3"/>
    <w:rsid w:val="159EF37D"/>
    <w:rsid w:val="15A25374"/>
    <w:rsid w:val="15AA5D69"/>
    <w:rsid w:val="15AAFAA9"/>
    <w:rsid w:val="15ADF23C"/>
    <w:rsid w:val="15AEAE0B"/>
    <w:rsid w:val="15B3DAAA"/>
    <w:rsid w:val="15BC79F4"/>
    <w:rsid w:val="15C2A450"/>
    <w:rsid w:val="15C610E1"/>
    <w:rsid w:val="15DB45FB"/>
    <w:rsid w:val="15DBBD15"/>
    <w:rsid w:val="15DD0E2F"/>
    <w:rsid w:val="15F9C854"/>
    <w:rsid w:val="160D87F0"/>
    <w:rsid w:val="16119F17"/>
    <w:rsid w:val="16147F84"/>
    <w:rsid w:val="1618EE4E"/>
    <w:rsid w:val="161CBC97"/>
    <w:rsid w:val="1621259B"/>
    <w:rsid w:val="1621F025"/>
    <w:rsid w:val="1621F6D7"/>
    <w:rsid w:val="162BF15A"/>
    <w:rsid w:val="1641A256"/>
    <w:rsid w:val="1654C383"/>
    <w:rsid w:val="1659C9C3"/>
    <w:rsid w:val="165F23DB"/>
    <w:rsid w:val="166A55C3"/>
    <w:rsid w:val="1676AE65"/>
    <w:rsid w:val="16770F0D"/>
    <w:rsid w:val="16778D24"/>
    <w:rsid w:val="1677CAB3"/>
    <w:rsid w:val="167BCB47"/>
    <w:rsid w:val="1692B624"/>
    <w:rsid w:val="1695E8D8"/>
    <w:rsid w:val="169CA76E"/>
    <w:rsid w:val="16A3E920"/>
    <w:rsid w:val="16A8E974"/>
    <w:rsid w:val="16AB89EB"/>
    <w:rsid w:val="16AD398A"/>
    <w:rsid w:val="16B489EF"/>
    <w:rsid w:val="16BB8F2E"/>
    <w:rsid w:val="16BF733E"/>
    <w:rsid w:val="16C40993"/>
    <w:rsid w:val="16C540BF"/>
    <w:rsid w:val="16C944F7"/>
    <w:rsid w:val="16C98A71"/>
    <w:rsid w:val="16D2439A"/>
    <w:rsid w:val="16D61A96"/>
    <w:rsid w:val="16DDDDA0"/>
    <w:rsid w:val="16E89694"/>
    <w:rsid w:val="16F8D6BF"/>
    <w:rsid w:val="170D3F21"/>
    <w:rsid w:val="170EDD9A"/>
    <w:rsid w:val="170F023F"/>
    <w:rsid w:val="17191820"/>
    <w:rsid w:val="171E10D4"/>
    <w:rsid w:val="17264C22"/>
    <w:rsid w:val="17382658"/>
    <w:rsid w:val="173962B2"/>
    <w:rsid w:val="173E23D5"/>
    <w:rsid w:val="1741E7EA"/>
    <w:rsid w:val="1746DAA9"/>
    <w:rsid w:val="174D9B8E"/>
    <w:rsid w:val="17525ACE"/>
    <w:rsid w:val="1752AE3D"/>
    <w:rsid w:val="1756CCC8"/>
    <w:rsid w:val="17636BA4"/>
    <w:rsid w:val="176655F4"/>
    <w:rsid w:val="17683A1B"/>
    <w:rsid w:val="17689C3C"/>
    <w:rsid w:val="17695DF8"/>
    <w:rsid w:val="176D465D"/>
    <w:rsid w:val="176D81B6"/>
    <w:rsid w:val="1774ABB7"/>
    <w:rsid w:val="1777C223"/>
    <w:rsid w:val="1780E53A"/>
    <w:rsid w:val="17876CAC"/>
    <w:rsid w:val="178795F5"/>
    <w:rsid w:val="178DCB70"/>
    <w:rsid w:val="178E0F0F"/>
    <w:rsid w:val="178F3106"/>
    <w:rsid w:val="17923F72"/>
    <w:rsid w:val="179D4803"/>
    <w:rsid w:val="179ED846"/>
    <w:rsid w:val="17A1441D"/>
    <w:rsid w:val="17A39BC9"/>
    <w:rsid w:val="17A4BC76"/>
    <w:rsid w:val="17A89E40"/>
    <w:rsid w:val="17B09C37"/>
    <w:rsid w:val="17B74D7F"/>
    <w:rsid w:val="17BD5954"/>
    <w:rsid w:val="17BE09EC"/>
    <w:rsid w:val="17BF0665"/>
    <w:rsid w:val="17C35B06"/>
    <w:rsid w:val="17CAB262"/>
    <w:rsid w:val="17CBB657"/>
    <w:rsid w:val="17CE0E6C"/>
    <w:rsid w:val="17CEA8D1"/>
    <w:rsid w:val="17D11797"/>
    <w:rsid w:val="17D5E12D"/>
    <w:rsid w:val="17DC6045"/>
    <w:rsid w:val="17DD3A8B"/>
    <w:rsid w:val="17F20E9B"/>
    <w:rsid w:val="1804D5BF"/>
    <w:rsid w:val="1806206A"/>
    <w:rsid w:val="180BDB8D"/>
    <w:rsid w:val="180BEC06"/>
    <w:rsid w:val="1816B1B2"/>
    <w:rsid w:val="181C4F5F"/>
    <w:rsid w:val="181D29CB"/>
    <w:rsid w:val="181EA3D1"/>
    <w:rsid w:val="181EE939"/>
    <w:rsid w:val="18236EDC"/>
    <w:rsid w:val="18296492"/>
    <w:rsid w:val="183A8142"/>
    <w:rsid w:val="183C9809"/>
    <w:rsid w:val="184785B1"/>
    <w:rsid w:val="184B73EE"/>
    <w:rsid w:val="184D449F"/>
    <w:rsid w:val="18520E1F"/>
    <w:rsid w:val="18551F7C"/>
    <w:rsid w:val="1859BAF3"/>
    <w:rsid w:val="185A41D5"/>
    <w:rsid w:val="185CDC46"/>
    <w:rsid w:val="1876940F"/>
    <w:rsid w:val="1881B049"/>
    <w:rsid w:val="1883E3E7"/>
    <w:rsid w:val="188ABB05"/>
    <w:rsid w:val="188E0FB8"/>
    <w:rsid w:val="188EF260"/>
    <w:rsid w:val="18910A2A"/>
    <w:rsid w:val="189BC11F"/>
    <w:rsid w:val="18A21005"/>
    <w:rsid w:val="18A51664"/>
    <w:rsid w:val="18A70D20"/>
    <w:rsid w:val="18B4B020"/>
    <w:rsid w:val="18BE699E"/>
    <w:rsid w:val="18C8A12D"/>
    <w:rsid w:val="18C8E924"/>
    <w:rsid w:val="18D05FC5"/>
    <w:rsid w:val="18D743B2"/>
    <w:rsid w:val="18D92E3D"/>
    <w:rsid w:val="18DCCE4D"/>
    <w:rsid w:val="18DDB84B"/>
    <w:rsid w:val="18E4FEA1"/>
    <w:rsid w:val="18F17D3B"/>
    <w:rsid w:val="18F87949"/>
    <w:rsid w:val="18FED63D"/>
    <w:rsid w:val="1904065B"/>
    <w:rsid w:val="190E1734"/>
    <w:rsid w:val="1918CC8E"/>
    <w:rsid w:val="192DC2C1"/>
    <w:rsid w:val="19306F38"/>
    <w:rsid w:val="1931F676"/>
    <w:rsid w:val="19320816"/>
    <w:rsid w:val="193F2C81"/>
    <w:rsid w:val="19403BA1"/>
    <w:rsid w:val="1942210A"/>
    <w:rsid w:val="19444164"/>
    <w:rsid w:val="1953331F"/>
    <w:rsid w:val="19533CB1"/>
    <w:rsid w:val="1953E841"/>
    <w:rsid w:val="195A3B1E"/>
    <w:rsid w:val="1966A54E"/>
    <w:rsid w:val="19735DA9"/>
    <w:rsid w:val="19740A36"/>
    <w:rsid w:val="1977C570"/>
    <w:rsid w:val="197BD9AF"/>
    <w:rsid w:val="197D48BA"/>
    <w:rsid w:val="19845C3B"/>
    <w:rsid w:val="198BC881"/>
    <w:rsid w:val="198E5641"/>
    <w:rsid w:val="198EF34F"/>
    <w:rsid w:val="198FB5E8"/>
    <w:rsid w:val="1990CC0C"/>
    <w:rsid w:val="19A33A6F"/>
    <w:rsid w:val="19C02C07"/>
    <w:rsid w:val="19C1F092"/>
    <w:rsid w:val="19C38BB5"/>
    <w:rsid w:val="19D3DB99"/>
    <w:rsid w:val="19E07627"/>
    <w:rsid w:val="19E2C3D4"/>
    <w:rsid w:val="19E34027"/>
    <w:rsid w:val="19F364DA"/>
    <w:rsid w:val="19F3CD3F"/>
    <w:rsid w:val="1A025BBB"/>
    <w:rsid w:val="1A04584D"/>
    <w:rsid w:val="1A0F6D73"/>
    <w:rsid w:val="1A14B4B4"/>
    <w:rsid w:val="1A17437A"/>
    <w:rsid w:val="1A26BB09"/>
    <w:rsid w:val="1A3674DD"/>
    <w:rsid w:val="1A3B92CD"/>
    <w:rsid w:val="1A4075BF"/>
    <w:rsid w:val="1A48204C"/>
    <w:rsid w:val="1A49AD3B"/>
    <w:rsid w:val="1A4D7E90"/>
    <w:rsid w:val="1A5445B2"/>
    <w:rsid w:val="1A5DB2D8"/>
    <w:rsid w:val="1A63BBC8"/>
    <w:rsid w:val="1A7282ED"/>
    <w:rsid w:val="1A76E909"/>
    <w:rsid w:val="1A78D1C3"/>
    <w:rsid w:val="1A7AE1E7"/>
    <w:rsid w:val="1A7F1E1A"/>
    <w:rsid w:val="1A841DA5"/>
    <w:rsid w:val="1A855A5C"/>
    <w:rsid w:val="1A88DEA5"/>
    <w:rsid w:val="1A8D65D0"/>
    <w:rsid w:val="1A91244D"/>
    <w:rsid w:val="1A92CEA4"/>
    <w:rsid w:val="1A92FB3F"/>
    <w:rsid w:val="1A9EAD76"/>
    <w:rsid w:val="1AAC5B0A"/>
    <w:rsid w:val="1AB1AD5F"/>
    <w:rsid w:val="1AB65139"/>
    <w:rsid w:val="1AD4D677"/>
    <w:rsid w:val="1AD8ED79"/>
    <w:rsid w:val="1AD9D07B"/>
    <w:rsid w:val="1AEE7F10"/>
    <w:rsid w:val="1AEEB109"/>
    <w:rsid w:val="1AFCA04C"/>
    <w:rsid w:val="1B01E6AA"/>
    <w:rsid w:val="1B065C05"/>
    <w:rsid w:val="1B11339A"/>
    <w:rsid w:val="1B14DA72"/>
    <w:rsid w:val="1B181669"/>
    <w:rsid w:val="1B182DA9"/>
    <w:rsid w:val="1B1D5878"/>
    <w:rsid w:val="1B1E574E"/>
    <w:rsid w:val="1B3161F5"/>
    <w:rsid w:val="1B333A71"/>
    <w:rsid w:val="1B3712C8"/>
    <w:rsid w:val="1B39F401"/>
    <w:rsid w:val="1B437C4F"/>
    <w:rsid w:val="1B5330D4"/>
    <w:rsid w:val="1B7BF1AD"/>
    <w:rsid w:val="1B7C5495"/>
    <w:rsid w:val="1B831C85"/>
    <w:rsid w:val="1B899615"/>
    <w:rsid w:val="1B908819"/>
    <w:rsid w:val="1BA214AF"/>
    <w:rsid w:val="1BA9E0CA"/>
    <w:rsid w:val="1BAA6F3E"/>
    <w:rsid w:val="1BAE4FC5"/>
    <w:rsid w:val="1BB03DFE"/>
    <w:rsid w:val="1BBC39FB"/>
    <w:rsid w:val="1BC189CA"/>
    <w:rsid w:val="1BC8E4EE"/>
    <w:rsid w:val="1BC9659D"/>
    <w:rsid w:val="1BCB2176"/>
    <w:rsid w:val="1BCD452C"/>
    <w:rsid w:val="1BD19E67"/>
    <w:rsid w:val="1BE2F9DC"/>
    <w:rsid w:val="1BE92796"/>
    <w:rsid w:val="1C017EAA"/>
    <w:rsid w:val="1C07F790"/>
    <w:rsid w:val="1C0E6693"/>
    <w:rsid w:val="1C145876"/>
    <w:rsid w:val="1C154CF3"/>
    <w:rsid w:val="1C15B4DC"/>
    <w:rsid w:val="1C1E2619"/>
    <w:rsid w:val="1C2355C9"/>
    <w:rsid w:val="1C27488D"/>
    <w:rsid w:val="1C386B65"/>
    <w:rsid w:val="1C389DB9"/>
    <w:rsid w:val="1C405857"/>
    <w:rsid w:val="1C53868F"/>
    <w:rsid w:val="1C57895B"/>
    <w:rsid w:val="1C597665"/>
    <w:rsid w:val="1C5C4FF0"/>
    <w:rsid w:val="1C5DB1DF"/>
    <w:rsid w:val="1C62E128"/>
    <w:rsid w:val="1C6446ED"/>
    <w:rsid w:val="1C67082F"/>
    <w:rsid w:val="1C72464E"/>
    <w:rsid w:val="1C80CC24"/>
    <w:rsid w:val="1C86C685"/>
    <w:rsid w:val="1C88631E"/>
    <w:rsid w:val="1C8AE438"/>
    <w:rsid w:val="1C8C9C36"/>
    <w:rsid w:val="1C8D54CF"/>
    <w:rsid w:val="1C9AFD25"/>
    <w:rsid w:val="1C9E1526"/>
    <w:rsid w:val="1CA5F712"/>
    <w:rsid w:val="1CAC4FA6"/>
    <w:rsid w:val="1CAEAAA4"/>
    <w:rsid w:val="1CB42F47"/>
    <w:rsid w:val="1CB52F1F"/>
    <w:rsid w:val="1CB62002"/>
    <w:rsid w:val="1CBF925A"/>
    <w:rsid w:val="1CC7B5D3"/>
    <w:rsid w:val="1CC7D41D"/>
    <w:rsid w:val="1CC91F40"/>
    <w:rsid w:val="1CCE9799"/>
    <w:rsid w:val="1CCECC05"/>
    <w:rsid w:val="1CDAD990"/>
    <w:rsid w:val="1CE2CC5E"/>
    <w:rsid w:val="1CF87F70"/>
    <w:rsid w:val="1D0A17F2"/>
    <w:rsid w:val="1D10D688"/>
    <w:rsid w:val="1D10D86A"/>
    <w:rsid w:val="1D1384DD"/>
    <w:rsid w:val="1D14D908"/>
    <w:rsid w:val="1D1CFB1A"/>
    <w:rsid w:val="1D280A72"/>
    <w:rsid w:val="1D428538"/>
    <w:rsid w:val="1D448A66"/>
    <w:rsid w:val="1D44EE5E"/>
    <w:rsid w:val="1D4697AC"/>
    <w:rsid w:val="1D4A34D8"/>
    <w:rsid w:val="1D4EE43C"/>
    <w:rsid w:val="1D61E7E7"/>
    <w:rsid w:val="1D647C20"/>
    <w:rsid w:val="1D64A127"/>
    <w:rsid w:val="1D66DD61"/>
    <w:rsid w:val="1D6B8EDB"/>
    <w:rsid w:val="1D6B9F56"/>
    <w:rsid w:val="1D75FF9A"/>
    <w:rsid w:val="1D79B1AF"/>
    <w:rsid w:val="1D8306F8"/>
    <w:rsid w:val="1D8863DA"/>
    <w:rsid w:val="1D959078"/>
    <w:rsid w:val="1D9CC5F6"/>
    <w:rsid w:val="1DAA2981"/>
    <w:rsid w:val="1DAE6571"/>
    <w:rsid w:val="1DAFC911"/>
    <w:rsid w:val="1DB16013"/>
    <w:rsid w:val="1DBB5953"/>
    <w:rsid w:val="1DBE786C"/>
    <w:rsid w:val="1DCABB15"/>
    <w:rsid w:val="1DD3BF22"/>
    <w:rsid w:val="1DD9AB40"/>
    <w:rsid w:val="1DE3FCBA"/>
    <w:rsid w:val="1DE4048A"/>
    <w:rsid w:val="1DE54A2D"/>
    <w:rsid w:val="1DE9C4BE"/>
    <w:rsid w:val="1DEBDB49"/>
    <w:rsid w:val="1DF103F6"/>
    <w:rsid w:val="1DF1793E"/>
    <w:rsid w:val="1DFDE67C"/>
    <w:rsid w:val="1E01D6F4"/>
    <w:rsid w:val="1E1ADF12"/>
    <w:rsid w:val="1E1FDDBB"/>
    <w:rsid w:val="1E2120AD"/>
    <w:rsid w:val="1E317D95"/>
    <w:rsid w:val="1E332FEA"/>
    <w:rsid w:val="1E348CF4"/>
    <w:rsid w:val="1E359251"/>
    <w:rsid w:val="1E3594F9"/>
    <w:rsid w:val="1E37AF4A"/>
    <w:rsid w:val="1E37FD50"/>
    <w:rsid w:val="1E3D3EE8"/>
    <w:rsid w:val="1E48569C"/>
    <w:rsid w:val="1E4A0E94"/>
    <w:rsid w:val="1E569632"/>
    <w:rsid w:val="1E59F2DD"/>
    <w:rsid w:val="1E5DE6E2"/>
    <w:rsid w:val="1E600285"/>
    <w:rsid w:val="1E64585A"/>
    <w:rsid w:val="1E648C93"/>
    <w:rsid w:val="1E755258"/>
    <w:rsid w:val="1E764A14"/>
    <w:rsid w:val="1E7AED67"/>
    <w:rsid w:val="1E7FE5D5"/>
    <w:rsid w:val="1E86FE7A"/>
    <w:rsid w:val="1E871FF0"/>
    <w:rsid w:val="1E8F32A4"/>
    <w:rsid w:val="1E932B90"/>
    <w:rsid w:val="1E9F701B"/>
    <w:rsid w:val="1EB333AF"/>
    <w:rsid w:val="1EB70994"/>
    <w:rsid w:val="1ECB2F04"/>
    <w:rsid w:val="1ECF9CBB"/>
    <w:rsid w:val="1ED1EB99"/>
    <w:rsid w:val="1EDFFAA4"/>
    <w:rsid w:val="1EE972BA"/>
    <w:rsid w:val="1EF07B76"/>
    <w:rsid w:val="1EF9B28A"/>
    <w:rsid w:val="1EFF6253"/>
    <w:rsid w:val="1EFFC413"/>
    <w:rsid w:val="1F0100F4"/>
    <w:rsid w:val="1F03A143"/>
    <w:rsid w:val="1F07D641"/>
    <w:rsid w:val="1F1257B6"/>
    <w:rsid w:val="1F132553"/>
    <w:rsid w:val="1F21D17F"/>
    <w:rsid w:val="1F2741E2"/>
    <w:rsid w:val="1F2F3083"/>
    <w:rsid w:val="1F3013CC"/>
    <w:rsid w:val="1F3816B5"/>
    <w:rsid w:val="1F42B8CA"/>
    <w:rsid w:val="1F47AF0B"/>
    <w:rsid w:val="1F4CF9CF"/>
    <w:rsid w:val="1F5122A1"/>
    <w:rsid w:val="1F60D479"/>
    <w:rsid w:val="1F61AA78"/>
    <w:rsid w:val="1F6904D7"/>
    <w:rsid w:val="1F6BDC39"/>
    <w:rsid w:val="1F724FFC"/>
    <w:rsid w:val="1F77AC90"/>
    <w:rsid w:val="1F786944"/>
    <w:rsid w:val="1F79FF50"/>
    <w:rsid w:val="1F811A8E"/>
    <w:rsid w:val="1F87C538"/>
    <w:rsid w:val="1F994734"/>
    <w:rsid w:val="1FA2621A"/>
    <w:rsid w:val="1FA7A6AE"/>
    <w:rsid w:val="1FB058CE"/>
    <w:rsid w:val="1FB2A58F"/>
    <w:rsid w:val="1FBA0580"/>
    <w:rsid w:val="1FBDE7D3"/>
    <w:rsid w:val="1FBE5AF6"/>
    <w:rsid w:val="1FBE6A28"/>
    <w:rsid w:val="1FCB8C63"/>
    <w:rsid w:val="1FCF004B"/>
    <w:rsid w:val="1FE58470"/>
    <w:rsid w:val="1FE8933D"/>
    <w:rsid w:val="1FEA2662"/>
    <w:rsid w:val="1FFB23FB"/>
    <w:rsid w:val="1FFCAE64"/>
    <w:rsid w:val="20082D95"/>
    <w:rsid w:val="200DCEEC"/>
    <w:rsid w:val="2019D54D"/>
    <w:rsid w:val="2021FB0D"/>
    <w:rsid w:val="202A5A8F"/>
    <w:rsid w:val="202BCE95"/>
    <w:rsid w:val="2039AC83"/>
    <w:rsid w:val="203AD023"/>
    <w:rsid w:val="203D8088"/>
    <w:rsid w:val="2041472C"/>
    <w:rsid w:val="204EB0FA"/>
    <w:rsid w:val="204F62D0"/>
    <w:rsid w:val="2054125E"/>
    <w:rsid w:val="206413C6"/>
    <w:rsid w:val="20761ED6"/>
    <w:rsid w:val="2080C0A4"/>
    <w:rsid w:val="20832980"/>
    <w:rsid w:val="2083E14E"/>
    <w:rsid w:val="2088B297"/>
    <w:rsid w:val="2091604B"/>
    <w:rsid w:val="209A24D9"/>
    <w:rsid w:val="209A4EA4"/>
    <w:rsid w:val="20A102EC"/>
    <w:rsid w:val="20B217A2"/>
    <w:rsid w:val="20BE22D3"/>
    <w:rsid w:val="20C15C27"/>
    <w:rsid w:val="20D08F9D"/>
    <w:rsid w:val="20DA676C"/>
    <w:rsid w:val="20DBACB1"/>
    <w:rsid w:val="20DC48A2"/>
    <w:rsid w:val="20E0A780"/>
    <w:rsid w:val="20E3BF6E"/>
    <w:rsid w:val="20E4F2D8"/>
    <w:rsid w:val="20E71086"/>
    <w:rsid w:val="20E7BB41"/>
    <w:rsid w:val="20F54249"/>
    <w:rsid w:val="20FCA754"/>
    <w:rsid w:val="21016AFA"/>
    <w:rsid w:val="2109C637"/>
    <w:rsid w:val="210AE562"/>
    <w:rsid w:val="210B970A"/>
    <w:rsid w:val="21220FE0"/>
    <w:rsid w:val="21255020"/>
    <w:rsid w:val="212DC594"/>
    <w:rsid w:val="2133A9C3"/>
    <w:rsid w:val="213412D6"/>
    <w:rsid w:val="21343E32"/>
    <w:rsid w:val="2135E0CE"/>
    <w:rsid w:val="2137E41F"/>
    <w:rsid w:val="213A49CF"/>
    <w:rsid w:val="213A84E8"/>
    <w:rsid w:val="213D953B"/>
    <w:rsid w:val="213FCC87"/>
    <w:rsid w:val="214D8E7A"/>
    <w:rsid w:val="21526FF7"/>
    <w:rsid w:val="21548126"/>
    <w:rsid w:val="216773E6"/>
    <w:rsid w:val="216FC47F"/>
    <w:rsid w:val="2175A0E0"/>
    <w:rsid w:val="21813BAE"/>
    <w:rsid w:val="2181CC25"/>
    <w:rsid w:val="21870ABC"/>
    <w:rsid w:val="218860DE"/>
    <w:rsid w:val="218D16D1"/>
    <w:rsid w:val="2190413B"/>
    <w:rsid w:val="21917D9E"/>
    <w:rsid w:val="2192C945"/>
    <w:rsid w:val="219BB8FD"/>
    <w:rsid w:val="21A5B0EB"/>
    <w:rsid w:val="21AB2EBE"/>
    <w:rsid w:val="21B377F7"/>
    <w:rsid w:val="21B58428"/>
    <w:rsid w:val="21B86AE5"/>
    <w:rsid w:val="21BD32BE"/>
    <w:rsid w:val="21BECC55"/>
    <w:rsid w:val="21BEECDB"/>
    <w:rsid w:val="21C67429"/>
    <w:rsid w:val="21C911D9"/>
    <w:rsid w:val="21CD49FD"/>
    <w:rsid w:val="21D36360"/>
    <w:rsid w:val="21DC1A66"/>
    <w:rsid w:val="21DDBEEE"/>
    <w:rsid w:val="21DF0469"/>
    <w:rsid w:val="21E153B3"/>
    <w:rsid w:val="21E87CC1"/>
    <w:rsid w:val="21F6212B"/>
    <w:rsid w:val="21F65763"/>
    <w:rsid w:val="21F85ADC"/>
    <w:rsid w:val="21FAABBE"/>
    <w:rsid w:val="2206E72C"/>
    <w:rsid w:val="220718D4"/>
    <w:rsid w:val="220DCEF8"/>
    <w:rsid w:val="22129C2A"/>
    <w:rsid w:val="2215B89E"/>
    <w:rsid w:val="221F811B"/>
    <w:rsid w:val="2224BAEE"/>
    <w:rsid w:val="222D6EBB"/>
    <w:rsid w:val="223663B4"/>
    <w:rsid w:val="224442CD"/>
    <w:rsid w:val="224D1193"/>
    <w:rsid w:val="22501F96"/>
    <w:rsid w:val="22548A1D"/>
    <w:rsid w:val="225A6722"/>
    <w:rsid w:val="226416B8"/>
    <w:rsid w:val="226DB0A3"/>
    <w:rsid w:val="22760B4D"/>
    <w:rsid w:val="2279C93A"/>
    <w:rsid w:val="227C1D92"/>
    <w:rsid w:val="227D99A3"/>
    <w:rsid w:val="2280FB55"/>
    <w:rsid w:val="2289400B"/>
    <w:rsid w:val="22A4978C"/>
    <w:rsid w:val="22B27621"/>
    <w:rsid w:val="22B57DEC"/>
    <w:rsid w:val="22C409DF"/>
    <w:rsid w:val="22CE943A"/>
    <w:rsid w:val="22CEED53"/>
    <w:rsid w:val="22CFAD60"/>
    <w:rsid w:val="22D50AA1"/>
    <w:rsid w:val="22D5B729"/>
    <w:rsid w:val="22DC0CF5"/>
    <w:rsid w:val="22DC3FB4"/>
    <w:rsid w:val="22DDE2D9"/>
    <w:rsid w:val="22EA524C"/>
    <w:rsid w:val="22EB84D4"/>
    <w:rsid w:val="22FACAD8"/>
    <w:rsid w:val="22FF0768"/>
    <w:rsid w:val="23011C89"/>
    <w:rsid w:val="2302556F"/>
    <w:rsid w:val="2308DBD0"/>
    <w:rsid w:val="230E980E"/>
    <w:rsid w:val="2313E031"/>
    <w:rsid w:val="2317D9D8"/>
    <w:rsid w:val="231B8219"/>
    <w:rsid w:val="231D9C86"/>
    <w:rsid w:val="232689F8"/>
    <w:rsid w:val="232ABCA1"/>
    <w:rsid w:val="232CBCD5"/>
    <w:rsid w:val="233EE0B9"/>
    <w:rsid w:val="2340A143"/>
    <w:rsid w:val="23451ABB"/>
    <w:rsid w:val="2345FDFD"/>
    <w:rsid w:val="235401BA"/>
    <w:rsid w:val="235B9270"/>
    <w:rsid w:val="236874C1"/>
    <w:rsid w:val="236B8336"/>
    <w:rsid w:val="236B9873"/>
    <w:rsid w:val="237061F1"/>
    <w:rsid w:val="23713DCA"/>
    <w:rsid w:val="2372E919"/>
    <w:rsid w:val="23765599"/>
    <w:rsid w:val="237A22C4"/>
    <w:rsid w:val="23871C05"/>
    <w:rsid w:val="2391F18C"/>
    <w:rsid w:val="23965683"/>
    <w:rsid w:val="23985633"/>
    <w:rsid w:val="23A16545"/>
    <w:rsid w:val="23A8C2EF"/>
    <w:rsid w:val="23AF9EE5"/>
    <w:rsid w:val="23B775B1"/>
    <w:rsid w:val="23B98620"/>
    <w:rsid w:val="23BC75F4"/>
    <w:rsid w:val="23BE7611"/>
    <w:rsid w:val="23C4CCA5"/>
    <w:rsid w:val="23C99653"/>
    <w:rsid w:val="23CB5C5F"/>
    <w:rsid w:val="23D2B74E"/>
    <w:rsid w:val="23D7C578"/>
    <w:rsid w:val="23D98EBE"/>
    <w:rsid w:val="23D9D62A"/>
    <w:rsid w:val="23DF8873"/>
    <w:rsid w:val="23E4FF8B"/>
    <w:rsid w:val="23E56FFC"/>
    <w:rsid w:val="23E8E0EC"/>
    <w:rsid w:val="2407A41D"/>
    <w:rsid w:val="240ECCA7"/>
    <w:rsid w:val="2410F9CF"/>
    <w:rsid w:val="241E2D05"/>
    <w:rsid w:val="2421C2E3"/>
    <w:rsid w:val="24276EBE"/>
    <w:rsid w:val="2429F67A"/>
    <w:rsid w:val="242AF299"/>
    <w:rsid w:val="242DD0F4"/>
    <w:rsid w:val="243AE5CE"/>
    <w:rsid w:val="24406800"/>
    <w:rsid w:val="2445FE30"/>
    <w:rsid w:val="24461DCC"/>
    <w:rsid w:val="244ACA8C"/>
    <w:rsid w:val="24548BB1"/>
    <w:rsid w:val="24571E8E"/>
    <w:rsid w:val="246032C8"/>
    <w:rsid w:val="24678538"/>
    <w:rsid w:val="246AC96F"/>
    <w:rsid w:val="246BC6D2"/>
    <w:rsid w:val="246D0869"/>
    <w:rsid w:val="247198E5"/>
    <w:rsid w:val="2472DB5C"/>
    <w:rsid w:val="247926B8"/>
    <w:rsid w:val="247E26A7"/>
    <w:rsid w:val="24829D37"/>
    <w:rsid w:val="2492020D"/>
    <w:rsid w:val="249223D4"/>
    <w:rsid w:val="24948626"/>
    <w:rsid w:val="24A189BB"/>
    <w:rsid w:val="24A3EBC4"/>
    <w:rsid w:val="24A45E68"/>
    <w:rsid w:val="24A6672C"/>
    <w:rsid w:val="24A6E1C4"/>
    <w:rsid w:val="24B03E6B"/>
    <w:rsid w:val="24B07F65"/>
    <w:rsid w:val="24B4A46C"/>
    <w:rsid w:val="24B820E2"/>
    <w:rsid w:val="24C290D1"/>
    <w:rsid w:val="24C34867"/>
    <w:rsid w:val="24CAF796"/>
    <w:rsid w:val="24CE47A8"/>
    <w:rsid w:val="24D09133"/>
    <w:rsid w:val="24D49969"/>
    <w:rsid w:val="24D745C5"/>
    <w:rsid w:val="24E1E6A9"/>
    <w:rsid w:val="24EC2DBA"/>
    <w:rsid w:val="24F3897D"/>
    <w:rsid w:val="24F40113"/>
    <w:rsid w:val="24F4FC2E"/>
    <w:rsid w:val="25014B9A"/>
    <w:rsid w:val="2502DBED"/>
    <w:rsid w:val="2506B82B"/>
    <w:rsid w:val="250B58F0"/>
    <w:rsid w:val="250FA1FC"/>
    <w:rsid w:val="2511984A"/>
    <w:rsid w:val="2512F34F"/>
    <w:rsid w:val="2514982A"/>
    <w:rsid w:val="2522CDCD"/>
    <w:rsid w:val="252919B0"/>
    <w:rsid w:val="252C761E"/>
    <w:rsid w:val="2534BEB5"/>
    <w:rsid w:val="2534FCCE"/>
    <w:rsid w:val="253BC3A0"/>
    <w:rsid w:val="25469B82"/>
    <w:rsid w:val="254B2F4D"/>
    <w:rsid w:val="2551C783"/>
    <w:rsid w:val="25553664"/>
    <w:rsid w:val="255FD216"/>
    <w:rsid w:val="256447EE"/>
    <w:rsid w:val="2567202F"/>
    <w:rsid w:val="256BCF19"/>
    <w:rsid w:val="2572979A"/>
    <w:rsid w:val="25735BE1"/>
    <w:rsid w:val="25784056"/>
    <w:rsid w:val="258686D0"/>
    <w:rsid w:val="258B3C76"/>
    <w:rsid w:val="259318CC"/>
    <w:rsid w:val="25941361"/>
    <w:rsid w:val="2599ED3D"/>
    <w:rsid w:val="259B3911"/>
    <w:rsid w:val="259FEE6E"/>
    <w:rsid w:val="25A407D6"/>
    <w:rsid w:val="25AD5990"/>
    <w:rsid w:val="25AFCEB4"/>
    <w:rsid w:val="25B05EEE"/>
    <w:rsid w:val="25BEA14F"/>
    <w:rsid w:val="25C15D93"/>
    <w:rsid w:val="25CEDD61"/>
    <w:rsid w:val="25D530B2"/>
    <w:rsid w:val="25D7B644"/>
    <w:rsid w:val="25D8EF49"/>
    <w:rsid w:val="25E74B4C"/>
    <w:rsid w:val="25E7ED75"/>
    <w:rsid w:val="25F3B8EB"/>
    <w:rsid w:val="25F9B040"/>
    <w:rsid w:val="25FF1A93"/>
    <w:rsid w:val="26074FA8"/>
    <w:rsid w:val="2608BCA2"/>
    <w:rsid w:val="2614058F"/>
    <w:rsid w:val="2626F1BB"/>
    <w:rsid w:val="26291D81"/>
    <w:rsid w:val="262B6A7D"/>
    <w:rsid w:val="262BA902"/>
    <w:rsid w:val="262DD588"/>
    <w:rsid w:val="26308FE1"/>
    <w:rsid w:val="26366432"/>
    <w:rsid w:val="2640E09E"/>
    <w:rsid w:val="2645820E"/>
    <w:rsid w:val="26477111"/>
    <w:rsid w:val="2648A1E8"/>
    <w:rsid w:val="2649B64C"/>
    <w:rsid w:val="265314B0"/>
    <w:rsid w:val="26544F76"/>
    <w:rsid w:val="26588EDE"/>
    <w:rsid w:val="265C4F1E"/>
    <w:rsid w:val="265EF5AD"/>
    <w:rsid w:val="265F18C8"/>
    <w:rsid w:val="2662FBF6"/>
    <w:rsid w:val="266AA9B0"/>
    <w:rsid w:val="266B16D9"/>
    <w:rsid w:val="266E14DB"/>
    <w:rsid w:val="266FC790"/>
    <w:rsid w:val="26791D8C"/>
    <w:rsid w:val="267FA948"/>
    <w:rsid w:val="26869037"/>
    <w:rsid w:val="268FC3F9"/>
    <w:rsid w:val="26A17E3C"/>
    <w:rsid w:val="26A580DD"/>
    <w:rsid w:val="26A9F4B4"/>
    <w:rsid w:val="26ACA355"/>
    <w:rsid w:val="26BCC38E"/>
    <w:rsid w:val="26D66BA0"/>
    <w:rsid w:val="26DCFF4B"/>
    <w:rsid w:val="26DDA481"/>
    <w:rsid w:val="26E62307"/>
    <w:rsid w:val="26E89456"/>
    <w:rsid w:val="26EE6B9C"/>
    <w:rsid w:val="26F37FF5"/>
    <w:rsid w:val="26F488C6"/>
    <w:rsid w:val="26F75C45"/>
    <w:rsid w:val="26FBC0A3"/>
    <w:rsid w:val="26FCB934"/>
    <w:rsid w:val="270274D0"/>
    <w:rsid w:val="27063DDC"/>
    <w:rsid w:val="270E2663"/>
    <w:rsid w:val="2714AE2F"/>
    <w:rsid w:val="2719F946"/>
    <w:rsid w:val="271AB009"/>
    <w:rsid w:val="271ED3E2"/>
    <w:rsid w:val="2726A0CE"/>
    <w:rsid w:val="272DF158"/>
    <w:rsid w:val="2731B5C1"/>
    <w:rsid w:val="2734CD4A"/>
    <w:rsid w:val="27397A1B"/>
    <w:rsid w:val="273A66B3"/>
    <w:rsid w:val="27410F2C"/>
    <w:rsid w:val="2744FF14"/>
    <w:rsid w:val="2745B0CA"/>
    <w:rsid w:val="2749FA76"/>
    <w:rsid w:val="274AE5ED"/>
    <w:rsid w:val="2752173A"/>
    <w:rsid w:val="2754CBB6"/>
    <w:rsid w:val="275696F0"/>
    <w:rsid w:val="2757C6E2"/>
    <w:rsid w:val="2758E020"/>
    <w:rsid w:val="2761616C"/>
    <w:rsid w:val="27668241"/>
    <w:rsid w:val="2771F5BB"/>
    <w:rsid w:val="2772B046"/>
    <w:rsid w:val="2773C57F"/>
    <w:rsid w:val="2788585F"/>
    <w:rsid w:val="2790B8DE"/>
    <w:rsid w:val="27A8067F"/>
    <w:rsid w:val="27B33811"/>
    <w:rsid w:val="27B78137"/>
    <w:rsid w:val="27BB5CCD"/>
    <w:rsid w:val="27C09110"/>
    <w:rsid w:val="27C1F0D9"/>
    <w:rsid w:val="27C61906"/>
    <w:rsid w:val="27C8C33A"/>
    <w:rsid w:val="27CA1EB9"/>
    <w:rsid w:val="27DE9E89"/>
    <w:rsid w:val="27E76756"/>
    <w:rsid w:val="27EA4039"/>
    <w:rsid w:val="27F79126"/>
    <w:rsid w:val="27FD2498"/>
    <w:rsid w:val="27FE1232"/>
    <w:rsid w:val="28012C31"/>
    <w:rsid w:val="28171C05"/>
    <w:rsid w:val="2819E06E"/>
    <w:rsid w:val="281EB027"/>
    <w:rsid w:val="2825311C"/>
    <w:rsid w:val="28266161"/>
    <w:rsid w:val="28269A92"/>
    <w:rsid w:val="283FDC8D"/>
    <w:rsid w:val="2840A1F8"/>
    <w:rsid w:val="2842A4E4"/>
    <w:rsid w:val="2843C523"/>
    <w:rsid w:val="28512B7D"/>
    <w:rsid w:val="285710CB"/>
    <w:rsid w:val="285B39DB"/>
    <w:rsid w:val="285EF3A9"/>
    <w:rsid w:val="286490C8"/>
    <w:rsid w:val="2865E435"/>
    <w:rsid w:val="2867B6DD"/>
    <w:rsid w:val="2869214E"/>
    <w:rsid w:val="286CB184"/>
    <w:rsid w:val="286FDAE9"/>
    <w:rsid w:val="287417C9"/>
    <w:rsid w:val="2874BE16"/>
    <w:rsid w:val="2878992B"/>
    <w:rsid w:val="287D5F83"/>
    <w:rsid w:val="287F57C1"/>
    <w:rsid w:val="28981D67"/>
    <w:rsid w:val="28A00802"/>
    <w:rsid w:val="28B2AA5D"/>
    <w:rsid w:val="28B57A0A"/>
    <w:rsid w:val="28B88B49"/>
    <w:rsid w:val="28BD901A"/>
    <w:rsid w:val="28C1445F"/>
    <w:rsid w:val="28C44EB0"/>
    <w:rsid w:val="28CEE21A"/>
    <w:rsid w:val="28D6C963"/>
    <w:rsid w:val="28E64414"/>
    <w:rsid w:val="28ED0EAE"/>
    <w:rsid w:val="28EFBAE7"/>
    <w:rsid w:val="28F1B766"/>
    <w:rsid w:val="28F452CD"/>
    <w:rsid w:val="28FC0747"/>
    <w:rsid w:val="28FF4C05"/>
    <w:rsid w:val="29022877"/>
    <w:rsid w:val="2903A9E9"/>
    <w:rsid w:val="290DBC7F"/>
    <w:rsid w:val="29142214"/>
    <w:rsid w:val="2917C6F5"/>
    <w:rsid w:val="291FE7E3"/>
    <w:rsid w:val="292918F8"/>
    <w:rsid w:val="293AD6A8"/>
    <w:rsid w:val="294367C5"/>
    <w:rsid w:val="29485971"/>
    <w:rsid w:val="294BEDE7"/>
    <w:rsid w:val="29523BDA"/>
    <w:rsid w:val="2965E818"/>
    <w:rsid w:val="296DCF22"/>
    <w:rsid w:val="29774154"/>
    <w:rsid w:val="29782249"/>
    <w:rsid w:val="29790F86"/>
    <w:rsid w:val="297DEAC2"/>
    <w:rsid w:val="298508D5"/>
    <w:rsid w:val="2986B75C"/>
    <w:rsid w:val="298D7168"/>
    <w:rsid w:val="299D0E4B"/>
    <w:rsid w:val="29A0923A"/>
    <w:rsid w:val="29A8F51B"/>
    <w:rsid w:val="29AB825D"/>
    <w:rsid w:val="29AD9467"/>
    <w:rsid w:val="29B33457"/>
    <w:rsid w:val="29BBFE14"/>
    <w:rsid w:val="29C228D4"/>
    <w:rsid w:val="29CF6D72"/>
    <w:rsid w:val="29D70E7D"/>
    <w:rsid w:val="29E415AC"/>
    <w:rsid w:val="29E7DB5F"/>
    <w:rsid w:val="29ECB856"/>
    <w:rsid w:val="29EE3B47"/>
    <w:rsid w:val="29F0DD3D"/>
    <w:rsid w:val="2A089B53"/>
    <w:rsid w:val="2A08B327"/>
    <w:rsid w:val="2A0E1B30"/>
    <w:rsid w:val="2A10A95D"/>
    <w:rsid w:val="2A2BABA3"/>
    <w:rsid w:val="2A2D2ECE"/>
    <w:rsid w:val="2A3F87EE"/>
    <w:rsid w:val="2A43A48C"/>
    <w:rsid w:val="2A4C2DF3"/>
    <w:rsid w:val="2A4DB719"/>
    <w:rsid w:val="2A4F8A58"/>
    <w:rsid w:val="2A4F9BBA"/>
    <w:rsid w:val="2A5A0B7F"/>
    <w:rsid w:val="2A5DA74D"/>
    <w:rsid w:val="2A671FA5"/>
    <w:rsid w:val="2A67A20F"/>
    <w:rsid w:val="2A698CE1"/>
    <w:rsid w:val="2A77EFBE"/>
    <w:rsid w:val="2A795A00"/>
    <w:rsid w:val="2A811F09"/>
    <w:rsid w:val="2A86EA06"/>
    <w:rsid w:val="2A8F2C45"/>
    <w:rsid w:val="2A8F774C"/>
    <w:rsid w:val="2A95DCDA"/>
    <w:rsid w:val="2A97031B"/>
    <w:rsid w:val="2A9BB0DD"/>
    <w:rsid w:val="2A9F78D2"/>
    <w:rsid w:val="2AA9113F"/>
    <w:rsid w:val="2AAABA3D"/>
    <w:rsid w:val="2AAB0A0D"/>
    <w:rsid w:val="2AB32723"/>
    <w:rsid w:val="2AB4D4CE"/>
    <w:rsid w:val="2AB7BD30"/>
    <w:rsid w:val="2ABC7458"/>
    <w:rsid w:val="2ABFDB51"/>
    <w:rsid w:val="2AC0C92B"/>
    <w:rsid w:val="2ACEB7C5"/>
    <w:rsid w:val="2AD3268E"/>
    <w:rsid w:val="2ADC1FE5"/>
    <w:rsid w:val="2ADC3D06"/>
    <w:rsid w:val="2AE0A211"/>
    <w:rsid w:val="2AF9BB3F"/>
    <w:rsid w:val="2B064E49"/>
    <w:rsid w:val="2B2102C7"/>
    <w:rsid w:val="2B253477"/>
    <w:rsid w:val="2B3EB5B6"/>
    <w:rsid w:val="2B3F23DF"/>
    <w:rsid w:val="2B426E77"/>
    <w:rsid w:val="2B42DD07"/>
    <w:rsid w:val="2B46FBD6"/>
    <w:rsid w:val="2B48D5F9"/>
    <w:rsid w:val="2B4AB854"/>
    <w:rsid w:val="2B5D75B3"/>
    <w:rsid w:val="2B652BAF"/>
    <w:rsid w:val="2B676D4D"/>
    <w:rsid w:val="2B69AF67"/>
    <w:rsid w:val="2B759D59"/>
    <w:rsid w:val="2B91B159"/>
    <w:rsid w:val="2B926E7F"/>
    <w:rsid w:val="2B97EF66"/>
    <w:rsid w:val="2BA6B72F"/>
    <w:rsid w:val="2BA9A0B1"/>
    <w:rsid w:val="2BAA103B"/>
    <w:rsid w:val="2BAC8C46"/>
    <w:rsid w:val="2BB34FEE"/>
    <w:rsid w:val="2BB581A2"/>
    <w:rsid w:val="2BB64C78"/>
    <w:rsid w:val="2BBCC4C6"/>
    <w:rsid w:val="2BC79997"/>
    <w:rsid w:val="2BD168F5"/>
    <w:rsid w:val="2BD5B33B"/>
    <w:rsid w:val="2BD9EE00"/>
    <w:rsid w:val="2BDD6A80"/>
    <w:rsid w:val="2BE3721A"/>
    <w:rsid w:val="2BE3AB45"/>
    <w:rsid w:val="2BE7A217"/>
    <w:rsid w:val="2BE899E7"/>
    <w:rsid w:val="2BEB1674"/>
    <w:rsid w:val="2BFF31C7"/>
    <w:rsid w:val="2C060EE3"/>
    <w:rsid w:val="2C06FFF1"/>
    <w:rsid w:val="2C133971"/>
    <w:rsid w:val="2C1B3161"/>
    <w:rsid w:val="2C1B3767"/>
    <w:rsid w:val="2C239C94"/>
    <w:rsid w:val="2C23A637"/>
    <w:rsid w:val="2C2A409A"/>
    <w:rsid w:val="2C31B755"/>
    <w:rsid w:val="2C380B39"/>
    <w:rsid w:val="2C38A1BC"/>
    <w:rsid w:val="2C4403F0"/>
    <w:rsid w:val="2C552114"/>
    <w:rsid w:val="2C58C08A"/>
    <w:rsid w:val="2C5C67B6"/>
    <w:rsid w:val="2C5F83B4"/>
    <w:rsid w:val="2C6EEBED"/>
    <w:rsid w:val="2C6F3CEA"/>
    <w:rsid w:val="2C70D69B"/>
    <w:rsid w:val="2C7B9CA8"/>
    <w:rsid w:val="2C908B8F"/>
    <w:rsid w:val="2CA0C0D2"/>
    <w:rsid w:val="2CAD72B9"/>
    <w:rsid w:val="2CB378D4"/>
    <w:rsid w:val="2CB3864C"/>
    <w:rsid w:val="2CB67FF8"/>
    <w:rsid w:val="2CCD0494"/>
    <w:rsid w:val="2CD3950C"/>
    <w:rsid w:val="2CDB2873"/>
    <w:rsid w:val="2CE0F147"/>
    <w:rsid w:val="2CE345A6"/>
    <w:rsid w:val="2CE553D7"/>
    <w:rsid w:val="2CE67E1E"/>
    <w:rsid w:val="2CF6F366"/>
    <w:rsid w:val="2CFC9B05"/>
    <w:rsid w:val="2D05E81F"/>
    <w:rsid w:val="2D064EB6"/>
    <w:rsid w:val="2D0960DF"/>
    <w:rsid w:val="2D0C107D"/>
    <w:rsid w:val="2D16741D"/>
    <w:rsid w:val="2D19AFF7"/>
    <w:rsid w:val="2D1CE3B5"/>
    <w:rsid w:val="2D1D3E9D"/>
    <w:rsid w:val="2D254777"/>
    <w:rsid w:val="2D26A52C"/>
    <w:rsid w:val="2D2F2D8D"/>
    <w:rsid w:val="2D366600"/>
    <w:rsid w:val="2D37ACF8"/>
    <w:rsid w:val="2D467A8E"/>
    <w:rsid w:val="2D4E8182"/>
    <w:rsid w:val="2D54CC06"/>
    <w:rsid w:val="2D5628C9"/>
    <w:rsid w:val="2D6483AD"/>
    <w:rsid w:val="2D669E52"/>
    <w:rsid w:val="2D740C6B"/>
    <w:rsid w:val="2D764188"/>
    <w:rsid w:val="2D790299"/>
    <w:rsid w:val="2D860BC4"/>
    <w:rsid w:val="2D8D16A1"/>
    <w:rsid w:val="2D8E9AF1"/>
    <w:rsid w:val="2D8ED033"/>
    <w:rsid w:val="2D932C4C"/>
    <w:rsid w:val="2D9D461C"/>
    <w:rsid w:val="2D9EF1BF"/>
    <w:rsid w:val="2DA80FB7"/>
    <w:rsid w:val="2DAB508F"/>
    <w:rsid w:val="2DAF0D35"/>
    <w:rsid w:val="2DB11B5F"/>
    <w:rsid w:val="2DB2207D"/>
    <w:rsid w:val="2DB762DE"/>
    <w:rsid w:val="2DBED039"/>
    <w:rsid w:val="2DC40C79"/>
    <w:rsid w:val="2DC916EB"/>
    <w:rsid w:val="2DCC78DC"/>
    <w:rsid w:val="2DCE3C40"/>
    <w:rsid w:val="2DD06886"/>
    <w:rsid w:val="2DDCE0E0"/>
    <w:rsid w:val="2DDD53A9"/>
    <w:rsid w:val="2DDF976E"/>
    <w:rsid w:val="2DED3B7C"/>
    <w:rsid w:val="2DF2BA9F"/>
    <w:rsid w:val="2DFB64A7"/>
    <w:rsid w:val="2E00B57E"/>
    <w:rsid w:val="2E09B444"/>
    <w:rsid w:val="2E237127"/>
    <w:rsid w:val="2E2D3916"/>
    <w:rsid w:val="2E34EABF"/>
    <w:rsid w:val="2E3B4B0A"/>
    <w:rsid w:val="2E45CABB"/>
    <w:rsid w:val="2E4D1BAC"/>
    <w:rsid w:val="2E4FFFC4"/>
    <w:rsid w:val="2E515F43"/>
    <w:rsid w:val="2E526E71"/>
    <w:rsid w:val="2E58FBDE"/>
    <w:rsid w:val="2E625352"/>
    <w:rsid w:val="2E639DF6"/>
    <w:rsid w:val="2E67FEE2"/>
    <w:rsid w:val="2E6ED68E"/>
    <w:rsid w:val="2E7377A7"/>
    <w:rsid w:val="2E75BD89"/>
    <w:rsid w:val="2E77B6CF"/>
    <w:rsid w:val="2E7944EB"/>
    <w:rsid w:val="2E7A29D3"/>
    <w:rsid w:val="2E890C98"/>
    <w:rsid w:val="2E927CF9"/>
    <w:rsid w:val="2EAC687A"/>
    <w:rsid w:val="2EB2447E"/>
    <w:rsid w:val="2EB90FD4"/>
    <w:rsid w:val="2EBCB37F"/>
    <w:rsid w:val="2EC1F5A2"/>
    <w:rsid w:val="2EC2BF08"/>
    <w:rsid w:val="2EC62B19"/>
    <w:rsid w:val="2EC7584B"/>
    <w:rsid w:val="2EC99457"/>
    <w:rsid w:val="2ED094B6"/>
    <w:rsid w:val="2ED453AA"/>
    <w:rsid w:val="2EE50915"/>
    <w:rsid w:val="2EE82090"/>
    <w:rsid w:val="2EE9F888"/>
    <w:rsid w:val="2EF087F6"/>
    <w:rsid w:val="2EF4001E"/>
    <w:rsid w:val="2EF6EDEC"/>
    <w:rsid w:val="2EF746F8"/>
    <w:rsid w:val="2EFD6A4D"/>
    <w:rsid w:val="2F07072B"/>
    <w:rsid w:val="2F0791BC"/>
    <w:rsid w:val="2F0F8D89"/>
    <w:rsid w:val="2F1308D2"/>
    <w:rsid w:val="2F1971F6"/>
    <w:rsid w:val="2F1C8F25"/>
    <w:rsid w:val="2F1CCFA6"/>
    <w:rsid w:val="2F25A5D1"/>
    <w:rsid w:val="2F3222DB"/>
    <w:rsid w:val="2F407EC9"/>
    <w:rsid w:val="2F44E33E"/>
    <w:rsid w:val="2F45E982"/>
    <w:rsid w:val="2F4D787D"/>
    <w:rsid w:val="2F5654F6"/>
    <w:rsid w:val="2F62E86F"/>
    <w:rsid w:val="2F62F9FC"/>
    <w:rsid w:val="2F63DFA3"/>
    <w:rsid w:val="2F64D5A3"/>
    <w:rsid w:val="2F7159DB"/>
    <w:rsid w:val="2F85F533"/>
    <w:rsid w:val="2F86305D"/>
    <w:rsid w:val="2F981EB5"/>
    <w:rsid w:val="2FA0CA66"/>
    <w:rsid w:val="2FADD3FB"/>
    <w:rsid w:val="2FB1FA1F"/>
    <w:rsid w:val="2FB64DB4"/>
    <w:rsid w:val="2FB8FDBB"/>
    <w:rsid w:val="2FBA442B"/>
    <w:rsid w:val="2FC28ACB"/>
    <w:rsid w:val="2FC312E8"/>
    <w:rsid w:val="2FC5C4A2"/>
    <w:rsid w:val="2FCCF0A8"/>
    <w:rsid w:val="2FCD2AEB"/>
    <w:rsid w:val="2FCDC85E"/>
    <w:rsid w:val="2FCE0490"/>
    <w:rsid w:val="2FD1F6EB"/>
    <w:rsid w:val="2FD4AF3A"/>
    <w:rsid w:val="2FE1B02D"/>
    <w:rsid w:val="2FEF250F"/>
    <w:rsid w:val="2FF920ED"/>
    <w:rsid w:val="30032E06"/>
    <w:rsid w:val="30089BC2"/>
    <w:rsid w:val="301E1EE0"/>
    <w:rsid w:val="301EAB1F"/>
    <w:rsid w:val="30213F96"/>
    <w:rsid w:val="302D5A7E"/>
    <w:rsid w:val="3035A74D"/>
    <w:rsid w:val="304101A1"/>
    <w:rsid w:val="30492424"/>
    <w:rsid w:val="30499E7A"/>
    <w:rsid w:val="304DBD6B"/>
    <w:rsid w:val="304E14DF"/>
    <w:rsid w:val="30636031"/>
    <w:rsid w:val="307F55ED"/>
    <w:rsid w:val="3080D2AD"/>
    <w:rsid w:val="3089F206"/>
    <w:rsid w:val="309A0BC2"/>
    <w:rsid w:val="309ED89A"/>
    <w:rsid w:val="30A4C611"/>
    <w:rsid w:val="30A992C1"/>
    <w:rsid w:val="30AEE9C0"/>
    <w:rsid w:val="30B3B582"/>
    <w:rsid w:val="30B5C2BF"/>
    <w:rsid w:val="30B8F444"/>
    <w:rsid w:val="30C0C901"/>
    <w:rsid w:val="30C56D34"/>
    <w:rsid w:val="30C91239"/>
    <w:rsid w:val="30CAA5E4"/>
    <w:rsid w:val="30CAB201"/>
    <w:rsid w:val="30CD859A"/>
    <w:rsid w:val="30D68AAD"/>
    <w:rsid w:val="30D78E16"/>
    <w:rsid w:val="30DA628E"/>
    <w:rsid w:val="30E8118F"/>
    <w:rsid w:val="30FBC69F"/>
    <w:rsid w:val="30FE0DFE"/>
    <w:rsid w:val="31091E49"/>
    <w:rsid w:val="311009C4"/>
    <w:rsid w:val="311733C3"/>
    <w:rsid w:val="311BDA5E"/>
    <w:rsid w:val="311C1B85"/>
    <w:rsid w:val="311E150F"/>
    <w:rsid w:val="311F378E"/>
    <w:rsid w:val="311F7F31"/>
    <w:rsid w:val="3125B142"/>
    <w:rsid w:val="31268141"/>
    <w:rsid w:val="312AE968"/>
    <w:rsid w:val="312B4861"/>
    <w:rsid w:val="312DB70D"/>
    <w:rsid w:val="313EDBCF"/>
    <w:rsid w:val="31436D0C"/>
    <w:rsid w:val="3143B1EB"/>
    <w:rsid w:val="314EE1D1"/>
    <w:rsid w:val="3171FF8E"/>
    <w:rsid w:val="317B3DB7"/>
    <w:rsid w:val="317F4AAC"/>
    <w:rsid w:val="3180CADC"/>
    <w:rsid w:val="318C747D"/>
    <w:rsid w:val="318C84C7"/>
    <w:rsid w:val="319A7A3B"/>
    <w:rsid w:val="319C9484"/>
    <w:rsid w:val="319ED361"/>
    <w:rsid w:val="31A12EFD"/>
    <w:rsid w:val="31A2E0BB"/>
    <w:rsid w:val="31A66BEF"/>
    <w:rsid w:val="31B8E865"/>
    <w:rsid w:val="31C6CC69"/>
    <w:rsid w:val="31C71A78"/>
    <w:rsid w:val="31D0A828"/>
    <w:rsid w:val="31D0E67C"/>
    <w:rsid w:val="31D32756"/>
    <w:rsid w:val="31D72E49"/>
    <w:rsid w:val="31D9F20E"/>
    <w:rsid w:val="31DCD202"/>
    <w:rsid w:val="31E946BB"/>
    <w:rsid w:val="31EB916F"/>
    <w:rsid w:val="31EC9EBC"/>
    <w:rsid w:val="31F1C733"/>
    <w:rsid w:val="31F7761D"/>
    <w:rsid w:val="31F8A9E3"/>
    <w:rsid w:val="31F96E5B"/>
    <w:rsid w:val="3204F03F"/>
    <w:rsid w:val="32079591"/>
    <w:rsid w:val="32141EC8"/>
    <w:rsid w:val="321E706E"/>
    <w:rsid w:val="322265BA"/>
    <w:rsid w:val="322303E6"/>
    <w:rsid w:val="32270773"/>
    <w:rsid w:val="32290177"/>
    <w:rsid w:val="322A3AFD"/>
    <w:rsid w:val="3230C1DB"/>
    <w:rsid w:val="3231A9D7"/>
    <w:rsid w:val="323BBB74"/>
    <w:rsid w:val="323BD499"/>
    <w:rsid w:val="323C735D"/>
    <w:rsid w:val="3241A82D"/>
    <w:rsid w:val="324B002C"/>
    <w:rsid w:val="3252F643"/>
    <w:rsid w:val="3256E510"/>
    <w:rsid w:val="325F18DD"/>
    <w:rsid w:val="326C1A64"/>
    <w:rsid w:val="32785A7F"/>
    <w:rsid w:val="327920E3"/>
    <w:rsid w:val="327E1699"/>
    <w:rsid w:val="32891FA6"/>
    <w:rsid w:val="3292E918"/>
    <w:rsid w:val="329D309B"/>
    <w:rsid w:val="329EE7CC"/>
    <w:rsid w:val="32A6977D"/>
    <w:rsid w:val="32AA8A71"/>
    <w:rsid w:val="32AE1187"/>
    <w:rsid w:val="32B6B143"/>
    <w:rsid w:val="32B6E353"/>
    <w:rsid w:val="32B94E1C"/>
    <w:rsid w:val="32C73255"/>
    <w:rsid w:val="32CB7A1D"/>
    <w:rsid w:val="32DA475D"/>
    <w:rsid w:val="32DB24F0"/>
    <w:rsid w:val="32E84967"/>
    <w:rsid w:val="32E89747"/>
    <w:rsid w:val="32ED1BC8"/>
    <w:rsid w:val="32F38EE8"/>
    <w:rsid w:val="32F617EA"/>
    <w:rsid w:val="330E3813"/>
    <w:rsid w:val="331A7647"/>
    <w:rsid w:val="331A9472"/>
    <w:rsid w:val="332919B1"/>
    <w:rsid w:val="332FF0CC"/>
    <w:rsid w:val="333387FC"/>
    <w:rsid w:val="3334346D"/>
    <w:rsid w:val="33353221"/>
    <w:rsid w:val="3341A19D"/>
    <w:rsid w:val="33423C50"/>
    <w:rsid w:val="335027F4"/>
    <w:rsid w:val="335030C2"/>
    <w:rsid w:val="33516351"/>
    <w:rsid w:val="33587AA6"/>
    <w:rsid w:val="335AC509"/>
    <w:rsid w:val="33608122"/>
    <w:rsid w:val="3365A77E"/>
    <w:rsid w:val="33686688"/>
    <w:rsid w:val="33696B58"/>
    <w:rsid w:val="33780C8D"/>
    <w:rsid w:val="337C002F"/>
    <w:rsid w:val="337E716C"/>
    <w:rsid w:val="3384CA27"/>
    <w:rsid w:val="338B4FDF"/>
    <w:rsid w:val="338C7341"/>
    <w:rsid w:val="3393AA91"/>
    <w:rsid w:val="339CB938"/>
    <w:rsid w:val="33A1D8D6"/>
    <w:rsid w:val="33A2AB1D"/>
    <w:rsid w:val="33B626C0"/>
    <w:rsid w:val="33B631AD"/>
    <w:rsid w:val="33B9644B"/>
    <w:rsid w:val="33C338B9"/>
    <w:rsid w:val="33C3431F"/>
    <w:rsid w:val="33C84418"/>
    <w:rsid w:val="33D1727F"/>
    <w:rsid w:val="33D3EE0E"/>
    <w:rsid w:val="33D843BE"/>
    <w:rsid w:val="33E49F6E"/>
    <w:rsid w:val="33E61538"/>
    <w:rsid w:val="33E88477"/>
    <w:rsid w:val="33EA2895"/>
    <w:rsid w:val="33F0FE1D"/>
    <w:rsid w:val="33F5D3D7"/>
    <w:rsid w:val="33F6D756"/>
    <w:rsid w:val="33F89B99"/>
    <w:rsid w:val="33FC1E67"/>
    <w:rsid w:val="33FF10D7"/>
    <w:rsid w:val="340848F1"/>
    <w:rsid w:val="34095CB1"/>
    <w:rsid w:val="3419809B"/>
    <w:rsid w:val="341E4619"/>
    <w:rsid w:val="34244563"/>
    <w:rsid w:val="3424F007"/>
    <w:rsid w:val="342CA7E9"/>
    <w:rsid w:val="342EA599"/>
    <w:rsid w:val="344353E4"/>
    <w:rsid w:val="344BC575"/>
    <w:rsid w:val="344F1972"/>
    <w:rsid w:val="3452EEA8"/>
    <w:rsid w:val="3457EB84"/>
    <w:rsid w:val="345E7954"/>
    <w:rsid w:val="345FB6BC"/>
    <w:rsid w:val="346B99B7"/>
    <w:rsid w:val="347716B4"/>
    <w:rsid w:val="347D312A"/>
    <w:rsid w:val="347EB2CE"/>
    <w:rsid w:val="348C28DF"/>
    <w:rsid w:val="3493A9AB"/>
    <w:rsid w:val="349CC266"/>
    <w:rsid w:val="349F2669"/>
    <w:rsid w:val="34AEE127"/>
    <w:rsid w:val="34B475DB"/>
    <w:rsid w:val="34B679FC"/>
    <w:rsid w:val="34BF7D2A"/>
    <w:rsid w:val="34F87701"/>
    <w:rsid w:val="350C7A75"/>
    <w:rsid w:val="350EDBC6"/>
    <w:rsid w:val="3514DEB0"/>
    <w:rsid w:val="351C15A0"/>
    <w:rsid w:val="351FB43D"/>
    <w:rsid w:val="3520D8DA"/>
    <w:rsid w:val="3523CAF3"/>
    <w:rsid w:val="3523D055"/>
    <w:rsid w:val="3525ADDE"/>
    <w:rsid w:val="35266123"/>
    <w:rsid w:val="352E4DDB"/>
    <w:rsid w:val="353304D3"/>
    <w:rsid w:val="35352B22"/>
    <w:rsid w:val="3544D6B8"/>
    <w:rsid w:val="3553B9A4"/>
    <w:rsid w:val="3557C738"/>
    <w:rsid w:val="355A40E3"/>
    <w:rsid w:val="355D327B"/>
    <w:rsid w:val="35688B23"/>
    <w:rsid w:val="35691C4B"/>
    <w:rsid w:val="356A4D51"/>
    <w:rsid w:val="356FFCB0"/>
    <w:rsid w:val="35719EBB"/>
    <w:rsid w:val="35758CDF"/>
    <w:rsid w:val="359573E2"/>
    <w:rsid w:val="359A129B"/>
    <w:rsid w:val="35B51490"/>
    <w:rsid w:val="35B7A723"/>
    <w:rsid w:val="35BC11C6"/>
    <w:rsid w:val="35C07F69"/>
    <w:rsid w:val="35C60A75"/>
    <w:rsid w:val="35CAE041"/>
    <w:rsid w:val="35CB7502"/>
    <w:rsid w:val="35D0735A"/>
    <w:rsid w:val="35D239C7"/>
    <w:rsid w:val="35D27892"/>
    <w:rsid w:val="35D76AAB"/>
    <w:rsid w:val="35D8A8AC"/>
    <w:rsid w:val="35D956E1"/>
    <w:rsid w:val="35DA4CA3"/>
    <w:rsid w:val="35DBDD96"/>
    <w:rsid w:val="35DC2EA4"/>
    <w:rsid w:val="35E0D36F"/>
    <w:rsid w:val="35E34DF7"/>
    <w:rsid w:val="35E6DF46"/>
    <w:rsid w:val="35ECD704"/>
    <w:rsid w:val="35EFDEC2"/>
    <w:rsid w:val="35F184E6"/>
    <w:rsid w:val="36029558"/>
    <w:rsid w:val="3604EC18"/>
    <w:rsid w:val="360562E5"/>
    <w:rsid w:val="360AAE8F"/>
    <w:rsid w:val="3611CA9E"/>
    <w:rsid w:val="3616577D"/>
    <w:rsid w:val="3621A058"/>
    <w:rsid w:val="362CDCD7"/>
    <w:rsid w:val="362D37AD"/>
    <w:rsid w:val="362F3142"/>
    <w:rsid w:val="363DBA6C"/>
    <w:rsid w:val="36420C8C"/>
    <w:rsid w:val="36436F1C"/>
    <w:rsid w:val="3645A306"/>
    <w:rsid w:val="36492C4B"/>
    <w:rsid w:val="3657336E"/>
    <w:rsid w:val="365E8235"/>
    <w:rsid w:val="36606ACD"/>
    <w:rsid w:val="366594CF"/>
    <w:rsid w:val="366EB7BF"/>
    <w:rsid w:val="36769F33"/>
    <w:rsid w:val="3677C151"/>
    <w:rsid w:val="367A6A33"/>
    <w:rsid w:val="36842AE4"/>
    <w:rsid w:val="3692A6A4"/>
    <w:rsid w:val="36A7FF87"/>
    <w:rsid w:val="36CCBF8A"/>
    <w:rsid w:val="36D13514"/>
    <w:rsid w:val="36D2A4A9"/>
    <w:rsid w:val="36DA82F5"/>
    <w:rsid w:val="36E10D67"/>
    <w:rsid w:val="36E7078B"/>
    <w:rsid w:val="36FB9892"/>
    <w:rsid w:val="36FD553D"/>
    <w:rsid w:val="37009B96"/>
    <w:rsid w:val="3701C15D"/>
    <w:rsid w:val="3702CA54"/>
    <w:rsid w:val="37086DF6"/>
    <w:rsid w:val="370AA6F1"/>
    <w:rsid w:val="370AE111"/>
    <w:rsid w:val="370FA198"/>
    <w:rsid w:val="37166127"/>
    <w:rsid w:val="37202864"/>
    <w:rsid w:val="3727F63D"/>
    <w:rsid w:val="37280A3E"/>
    <w:rsid w:val="372C26FD"/>
    <w:rsid w:val="372C2E45"/>
    <w:rsid w:val="372C58F2"/>
    <w:rsid w:val="373148F0"/>
    <w:rsid w:val="37320E67"/>
    <w:rsid w:val="37381688"/>
    <w:rsid w:val="373AA21D"/>
    <w:rsid w:val="3743786A"/>
    <w:rsid w:val="374EA939"/>
    <w:rsid w:val="3754D1F7"/>
    <w:rsid w:val="37559D12"/>
    <w:rsid w:val="3757030D"/>
    <w:rsid w:val="375EE722"/>
    <w:rsid w:val="376850C0"/>
    <w:rsid w:val="376DC643"/>
    <w:rsid w:val="376EF33B"/>
    <w:rsid w:val="377C4C99"/>
    <w:rsid w:val="377DE713"/>
    <w:rsid w:val="378346F3"/>
    <w:rsid w:val="3787078B"/>
    <w:rsid w:val="379C665B"/>
    <w:rsid w:val="379C8141"/>
    <w:rsid w:val="379D93D1"/>
    <w:rsid w:val="37A220C7"/>
    <w:rsid w:val="37A333EC"/>
    <w:rsid w:val="37A9DDFA"/>
    <w:rsid w:val="37BCD3E4"/>
    <w:rsid w:val="37C6D346"/>
    <w:rsid w:val="37D999F5"/>
    <w:rsid w:val="37E2E946"/>
    <w:rsid w:val="37F1BC3C"/>
    <w:rsid w:val="37F521E3"/>
    <w:rsid w:val="38015C79"/>
    <w:rsid w:val="3805ECD9"/>
    <w:rsid w:val="380B4DFA"/>
    <w:rsid w:val="38179A07"/>
    <w:rsid w:val="3819E7B4"/>
    <w:rsid w:val="381DFA1D"/>
    <w:rsid w:val="382E68FD"/>
    <w:rsid w:val="38328C7A"/>
    <w:rsid w:val="383449D1"/>
    <w:rsid w:val="3835E226"/>
    <w:rsid w:val="3839FE8B"/>
    <w:rsid w:val="383ED2AA"/>
    <w:rsid w:val="383FC29B"/>
    <w:rsid w:val="3842BE41"/>
    <w:rsid w:val="384978B1"/>
    <w:rsid w:val="384D2A5D"/>
    <w:rsid w:val="38550C69"/>
    <w:rsid w:val="385BCC77"/>
    <w:rsid w:val="385CC20F"/>
    <w:rsid w:val="385DAF7C"/>
    <w:rsid w:val="386E6D23"/>
    <w:rsid w:val="3874F481"/>
    <w:rsid w:val="387B8E76"/>
    <w:rsid w:val="38824876"/>
    <w:rsid w:val="38831365"/>
    <w:rsid w:val="3898B874"/>
    <w:rsid w:val="38A183A7"/>
    <w:rsid w:val="38A6821B"/>
    <w:rsid w:val="38A7C52E"/>
    <w:rsid w:val="38BFC10D"/>
    <w:rsid w:val="38C4125C"/>
    <w:rsid w:val="38C91551"/>
    <w:rsid w:val="38CC04C2"/>
    <w:rsid w:val="38D6E18D"/>
    <w:rsid w:val="38DDCE1C"/>
    <w:rsid w:val="38EF9B45"/>
    <w:rsid w:val="38F443E4"/>
    <w:rsid w:val="39002DE7"/>
    <w:rsid w:val="3902B319"/>
    <w:rsid w:val="3909CAB5"/>
    <w:rsid w:val="390AD8B7"/>
    <w:rsid w:val="39130704"/>
    <w:rsid w:val="3914BA57"/>
    <w:rsid w:val="39196A1E"/>
    <w:rsid w:val="391A8F1E"/>
    <w:rsid w:val="391CB38B"/>
    <w:rsid w:val="3920ABC3"/>
    <w:rsid w:val="393CE887"/>
    <w:rsid w:val="393E5ABA"/>
    <w:rsid w:val="393F044D"/>
    <w:rsid w:val="394B61F4"/>
    <w:rsid w:val="39595FFA"/>
    <w:rsid w:val="3961B646"/>
    <w:rsid w:val="3964496C"/>
    <w:rsid w:val="3965973E"/>
    <w:rsid w:val="396B3B42"/>
    <w:rsid w:val="39704C24"/>
    <w:rsid w:val="39707AC8"/>
    <w:rsid w:val="3975D4DC"/>
    <w:rsid w:val="39774067"/>
    <w:rsid w:val="3978357D"/>
    <w:rsid w:val="3983C2EC"/>
    <w:rsid w:val="398CF98C"/>
    <w:rsid w:val="39A03ABD"/>
    <w:rsid w:val="39A7D6C7"/>
    <w:rsid w:val="39BA380F"/>
    <w:rsid w:val="39C093EF"/>
    <w:rsid w:val="39C0D212"/>
    <w:rsid w:val="39C56A50"/>
    <w:rsid w:val="39C707EC"/>
    <w:rsid w:val="39CA6CAC"/>
    <w:rsid w:val="39CF9E75"/>
    <w:rsid w:val="39D30FAA"/>
    <w:rsid w:val="39D5218F"/>
    <w:rsid w:val="39D52E2B"/>
    <w:rsid w:val="39D783D7"/>
    <w:rsid w:val="39DE660A"/>
    <w:rsid w:val="39DEE97D"/>
    <w:rsid w:val="39E23D23"/>
    <w:rsid w:val="39E3D6E0"/>
    <w:rsid w:val="39E96425"/>
    <w:rsid w:val="39F171E1"/>
    <w:rsid w:val="39F4233F"/>
    <w:rsid w:val="3A05E459"/>
    <w:rsid w:val="3A0B351C"/>
    <w:rsid w:val="3A0C72D7"/>
    <w:rsid w:val="3A14A0AF"/>
    <w:rsid w:val="3A14A495"/>
    <w:rsid w:val="3A1542BE"/>
    <w:rsid w:val="3A15B287"/>
    <w:rsid w:val="3A165826"/>
    <w:rsid w:val="3A1D7E32"/>
    <w:rsid w:val="3A20DC99"/>
    <w:rsid w:val="3A22BF79"/>
    <w:rsid w:val="3A2B8935"/>
    <w:rsid w:val="3A3607FF"/>
    <w:rsid w:val="3A444470"/>
    <w:rsid w:val="3A4CEF30"/>
    <w:rsid w:val="3A4F0B51"/>
    <w:rsid w:val="3A51ECE2"/>
    <w:rsid w:val="3A52E4B9"/>
    <w:rsid w:val="3A539746"/>
    <w:rsid w:val="3A543C2F"/>
    <w:rsid w:val="3A59EE83"/>
    <w:rsid w:val="3A5F2E73"/>
    <w:rsid w:val="3A647BE4"/>
    <w:rsid w:val="3A650020"/>
    <w:rsid w:val="3A6CA725"/>
    <w:rsid w:val="3A727D2B"/>
    <w:rsid w:val="3A7AD7DE"/>
    <w:rsid w:val="3A7C5566"/>
    <w:rsid w:val="3A7D84E0"/>
    <w:rsid w:val="3A81AF4D"/>
    <w:rsid w:val="3A82F48C"/>
    <w:rsid w:val="3A84051A"/>
    <w:rsid w:val="3A8710F4"/>
    <w:rsid w:val="3A945B7B"/>
    <w:rsid w:val="3A9A59A0"/>
    <w:rsid w:val="3AA1C14E"/>
    <w:rsid w:val="3AA588F3"/>
    <w:rsid w:val="3AA59B16"/>
    <w:rsid w:val="3AA894A8"/>
    <w:rsid w:val="3AAC5A72"/>
    <w:rsid w:val="3AAD1B48"/>
    <w:rsid w:val="3AAEE022"/>
    <w:rsid w:val="3AB0B214"/>
    <w:rsid w:val="3AB5E78D"/>
    <w:rsid w:val="3ABD5FE0"/>
    <w:rsid w:val="3ABE8D85"/>
    <w:rsid w:val="3AC66082"/>
    <w:rsid w:val="3ACD30B9"/>
    <w:rsid w:val="3ACFEE2D"/>
    <w:rsid w:val="3AD5990E"/>
    <w:rsid w:val="3AD59970"/>
    <w:rsid w:val="3AD661DD"/>
    <w:rsid w:val="3AE3D4D7"/>
    <w:rsid w:val="3AE3D981"/>
    <w:rsid w:val="3AF6F0AB"/>
    <w:rsid w:val="3AF7E29D"/>
    <w:rsid w:val="3B01A192"/>
    <w:rsid w:val="3B134380"/>
    <w:rsid w:val="3B150232"/>
    <w:rsid w:val="3B162AEE"/>
    <w:rsid w:val="3B1A1821"/>
    <w:rsid w:val="3B1B6154"/>
    <w:rsid w:val="3B1D101D"/>
    <w:rsid w:val="3B1FF837"/>
    <w:rsid w:val="3B23E5FE"/>
    <w:rsid w:val="3B240415"/>
    <w:rsid w:val="3B24CB52"/>
    <w:rsid w:val="3B3BD3A3"/>
    <w:rsid w:val="3B3EFCE7"/>
    <w:rsid w:val="3B41E5CB"/>
    <w:rsid w:val="3B4A9582"/>
    <w:rsid w:val="3B4DF75B"/>
    <w:rsid w:val="3B4F1C57"/>
    <w:rsid w:val="3B57E161"/>
    <w:rsid w:val="3B5B6BB1"/>
    <w:rsid w:val="3B5C7E55"/>
    <w:rsid w:val="3B62A0A3"/>
    <w:rsid w:val="3B659BB8"/>
    <w:rsid w:val="3B6976A2"/>
    <w:rsid w:val="3B70FF40"/>
    <w:rsid w:val="3B7B17AB"/>
    <w:rsid w:val="3B80FCDC"/>
    <w:rsid w:val="3B8D4242"/>
    <w:rsid w:val="3B8D501D"/>
    <w:rsid w:val="3B9E0636"/>
    <w:rsid w:val="3BACDCD2"/>
    <w:rsid w:val="3BB8F85C"/>
    <w:rsid w:val="3BCB35BB"/>
    <w:rsid w:val="3BCE126F"/>
    <w:rsid w:val="3BD6D9CD"/>
    <w:rsid w:val="3BDC9ABD"/>
    <w:rsid w:val="3BEDC058"/>
    <w:rsid w:val="3BF22B44"/>
    <w:rsid w:val="3BF8FDD1"/>
    <w:rsid w:val="3BF995E4"/>
    <w:rsid w:val="3C0CD988"/>
    <w:rsid w:val="3C1434C0"/>
    <w:rsid w:val="3C23286C"/>
    <w:rsid w:val="3C2733BA"/>
    <w:rsid w:val="3C27C5E6"/>
    <w:rsid w:val="3C293349"/>
    <w:rsid w:val="3C370748"/>
    <w:rsid w:val="3C379372"/>
    <w:rsid w:val="3C3DB4C8"/>
    <w:rsid w:val="3C3EB837"/>
    <w:rsid w:val="3C4E363D"/>
    <w:rsid w:val="3C503AA5"/>
    <w:rsid w:val="3C516F2B"/>
    <w:rsid w:val="3C5858A8"/>
    <w:rsid w:val="3C5D419D"/>
    <w:rsid w:val="3C63D7C0"/>
    <w:rsid w:val="3C6405F2"/>
    <w:rsid w:val="3C68D993"/>
    <w:rsid w:val="3C6A47D8"/>
    <w:rsid w:val="3C6B0406"/>
    <w:rsid w:val="3C77773B"/>
    <w:rsid w:val="3C82BC47"/>
    <w:rsid w:val="3C82DC52"/>
    <w:rsid w:val="3C844714"/>
    <w:rsid w:val="3C8551D0"/>
    <w:rsid w:val="3C85C3CD"/>
    <w:rsid w:val="3C8BD4F4"/>
    <w:rsid w:val="3C90B473"/>
    <w:rsid w:val="3C951FFF"/>
    <w:rsid w:val="3C954F24"/>
    <w:rsid w:val="3CB0CB1B"/>
    <w:rsid w:val="3CB3080C"/>
    <w:rsid w:val="3CC8ED35"/>
    <w:rsid w:val="3CCE87F5"/>
    <w:rsid w:val="3CD1CA10"/>
    <w:rsid w:val="3CDC696E"/>
    <w:rsid w:val="3CDE75F8"/>
    <w:rsid w:val="3CDFFCE0"/>
    <w:rsid w:val="3CEE90E6"/>
    <w:rsid w:val="3CF0B465"/>
    <w:rsid w:val="3CF18A92"/>
    <w:rsid w:val="3CFC006C"/>
    <w:rsid w:val="3D0CF7DA"/>
    <w:rsid w:val="3D0D93C9"/>
    <w:rsid w:val="3D0E8533"/>
    <w:rsid w:val="3D118F1B"/>
    <w:rsid w:val="3D156C4F"/>
    <w:rsid w:val="3D2064A8"/>
    <w:rsid w:val="3D28BADC"/>
    <w:rsid w:val="3D34ACAB"/>
    <w:rsid w:val="3D3B248A"/>
    <w:rsid w:val="3D3B6480"/>
    <w:rsid w:val="3D3C219F"/>
    <w:rsid w:val="3D3ED658"/>
    <w:rsid w:val="3D507413"/>
    <w:rsid w:val="3D51EE58"/>
    <w:rsid w:val="3D538890"/>
    <w:rsid w:val="3D552FBC"/>
    <w:rsid w:val="3D5AC1E7"/>
    <w:rsid w:val="3D5BD524"/>
    <w:rsid w:val="3D6E023A"/>
    <w:rsid w:val="3D6F209B"/>
    <w:rsid w:val="3D732607"/>
    <w:rsid w:val="3D769A60"/>
    <w:rsid w:val="3D7866E8"/>
    <w:rsid w:val="3D7AC1D8"/>
    <w:rsid w:val="3D7C9AFB"/>
    <w:rsid w:val="3D82573E"/>
    <w:rsid w:val="3D93FA43"/>
    <w:rsid w:val="3D9ACDCB"/>
    <w:rsid w:val="3DA03F33"/>
    <w:rsid w:val="3DA3CE9A"/>
    <w:rsid w:val="3DA5E0C9"/>
    <w:rsid w:val="3DAC6BDC"/>
    <w:rsid w:val="3DB4F769"/>
    <w:rsid w:val="3DB89386"/>
    <w:rsid w:val="3DC6AE4F"/>
    <w:rsid w:val="3DC98F9A"/>
    <w:rsid w:val="3DCDDBD3"/>
    <w:rsid w:val="3DD48B2B"/>
    <w:rsid w:val="3DD5D82F"/>
    <w:rsid w:val="3DDB9FA0"/>
    <w:rsid w:val="3DE2E267"/>
    <w:rsid w:val="3DE8FE5D"/>
    <w:rsid w:val="3DF31FDF"/>
    <w:rsid w:val="3DF5977F"/>
    <w:rsid w:val="3DF86E21"/>
    <w:rsid w:val="3DFCA46E"/>
    <w:rsid w:val="3E07CE60"/>
    <w:rsid w:val="3E0A2FAA"/>
    <w:rsid w:val="3E0ABCB1"/>
    <w:rsid w:val="3E0AE595"/>
    <w:rsid w:val="3E114004"/>
    <w:rsid w:val="3E11AFB5"/>
    <w:rsid w:val="3E33AF5E"/>
    <w:rsid w:val="3E36F166"/>
    <w:rsid w:val="3E3E1109"/>
    <w:rsid w:val="3E4DC1D7"/>
    <w:rsid w:val="3E56693C"/>
    <w:rsid w:val="3E5DB658"/>
    <w:rsid w:val="3E6ECE8C"/>
    <w:rsid w:val="3E7A3A0C"/>
    <w:rsid w:val="3E7AA4D4"/>
    <w:rsid w:val="3E7E6DC2"/>
    <w:rsid w:val="3E815AF6"/>
    <w:rsid w:val="3E8179E6"/>
    <w:rsid w:val="3E8915AB"/>
    <w:rsid w:val="3E8991CD"/>
    <w:rsid w:val="3E94F21F"/>
    <w:rsid w:val="3E9BA8A3"/>
    <w:rsid w:val="3E9ECC43"/>
    <w:rsid w:val="3EA0A82E"/>
    <w:rsid w:val="3EA83A17"/>
    <w:rsid w:val="3EB1A66E"/>
    <w:rsid w:val="3EBC3509"/>
    <w:rsid w:val="3EBE3CF7"/>
    <w:rsid w:val="3EBE9730"/>
    <w:rsid w:val="3EBF16E8"/>
    <w:rsid w:val="3EC56F94"/>
    <w:rsid w:val="3EC59878"/>
    <w:rsid w:val="3EC97C58"/>
    <w:rsid w:val="3ECE8018"/>
    <w:rsid w:val="3EE5F129"/>
    <w:rsid w:val="3EE70226"/>
    <w:rsid w:val="3EEAAA1C"/>
    <w:rsid w:val="3EF47DD9"/>
    <w:rsid w:val="3F012A10"/>
    <w:rsid w:val="3F15C043"/>
    <w:rsid w:val="3F172398"/>
    <w:rsid w:val="3F23FE04"/>
    <w:rsid w:val="3F2EB937"/>
    <w:rsid w:val="3F3AE7FE"/>
    <w:rsid w:val="3F41FCB9"/>
    <w:rsid w:val="3F5B6984"/>
    <w:rsid w:val="3F5BC0C1"/>
    <w:rsid w:val="3F5FE3DC"/>
    <w:rsid w:val="3F6C3A0F"/>
    <w:rsid w:val="3F70AD83"/>
    <w:rsid w:val="3F780E20"/>
    <w:rsid w:val="3F7A1617"/>
    <w:rsid w:val="3F806B92"/>
    <w:rsid w:val="3F86BF3B"/>
    <w:rsid w:val="3F8F8679"/>
    <w:rsid w:val="3F926D52"/>
    <w:rsid w:val="3F94155B"/>
    <w:rsid w:val="3F957198"/>
    <w:rsid w:val="3F9988B2"/>
    <w:rsid w:val="3FA5E9C1"/>
    <w:rsid w:val="3FAC38D0"/>
    <w:rsid w:val="3FC4646A"/>
    <w:rsid w:val="3FC4B0D6"/>
    <w:rsid w:val="3FC93C53"/>
    <w:rsid w:val="3FCB4C69"/>
    <w:rsid w:val="3FCDAFF0"/>
    <w:rsid w:val="3FCFD08E"/>
    <w:rsid w:val="3FD1C937"/>
    <w:rsid w:val="3FD64424"/>
    <w:rsid w:val="3FD91B5E"/>
    <w:rsid w:val="3FDB5144"/>
    <w:rsid w:val="3FECB82D"/>
    <w:rsid w:val="3FECB938"/>
    <w:rsid w:val="3FF0E4B9"/>
    <w:rsid w:val="4001FA43"/>
    <w:rsid w:val="40178687"/>
    <w:rsid w:val="4018D539"/>
    <w:rsid w:val="4025022F"/>
    <w:rsid w:val="40255638"/>
    <w:rsid w:val="402BDF0A"/>
    <w:rsid w:val="403019A9"/>
    <w:rsid w:val="403E20FB"/>
    <w:rsid w:val="403FA846"/>
    <w:rsid w:val="404049B8"/>
    <w:rsid w:val="4044F1AD"/>
    <w:rsid w:val="404735F9"/>
    <w:rsid w:val="404FEC53"/>
    <w:rsid w:val="4050FF33"/>
    <w:rsid w:val="405C754B"/>
    <w:rsid w:val="405EA81C"/>
    <w:rsid w:val="4060C923"/>
    <w:rsid w:val="4061B9B2"/>
    <w:rsid w:val="4069A721"/>
    <w:rsid w:val="4071786C"/>
    <w:rsid w:val="40781B92"/>
    <w:rsid w:val="407837D4"/>
    <w:rsid w:val="40792C34"/>
    <w:rsid w:val="40847506"/>
    <w:rsid w:val="408507A2"/>
    <w:rsid w:val="4086277C"/>
    <w:rsid w:val="408EC019"/>
    <w:rsid w:val="4091556F"/>
    <w:rsid w:val="4094D7BC"/>
    <w:rsid w:val="409506EC"/>
    <w:rsid w:val="409BB180"/>
    <w:rsid w:val="40A63AFD"/>
    <w:rsid w:val="40AAA254"/>
    <w:rsid w:val="40B357BB"/>
    <w:rsid w:val="40BFC784"/>
    <w:rsid w:val="40C06E24"/>
    <w:rsid w:val="40D1E831"/>
    <w:rsid w:val="40DD6503"/>
    <w:rsid w:val="40DD7890"/>
    <w:rsid w:val="40F2E9E9"/>
    <w:rsid w:val="40F51767"/>
    <w:rsid w:val="40F9BEE6"/>
    <w:rsid w:val="41074174"/>
    <w:rsid w:val="41080A70"/>
    <w:rsid w:val="4111B171"/>
    <w:rsid w:val="411667DD"/>
    <w:rsid w:val="4118DFB8"/>
    <w:rsid w:val="411CFF4A"/>
    <w:rsid w:val="411F5C33"/>
    <w:rsid w:val="412077D6"/>
    <w:rsid w:val="4125811B"/>
    <w:rsid w:val="413254D1"/>
    <w:rsid w:val="41352525"/>
    <w:rsid w:val="4137E550"/>
    <w:rsid w:val="4137E8FA"/>
    <w:rsid w:val="413909ED"/>
    <w:rsid w:val="413FC4C6"/>
    <w:rsid w:val="4140618E"/>
    <w:rsid w:val="4148D39C"/>
    <w:rsid w:val="414A82FA"/>
    <w:rsid w:val="414B414B"/>
    <w:rsid w:val="414B9113"/>
    <w:rsid w:val="4153ECFB"/>
    <w:rsid w:val="415C00F2"/>
    <w:rsid w:val="4165B97A"/>
    <w:rsid w:val="41662011"/>
    <w:rsid w:val="416C0B9F"/>
    <w:rsid w:val="416D91F2"/>
    <w:rsid w:val="417C6F53"/>
    <w:rsid w:val="41876EBB"/>
    <w:rsid w:val="4187DA3A"/>
    <w:rsid w:val="4187ECF2"/>
    <w:rsid w:val="4189BF7B"/>
    <w:rsid w:val="41912935"/>
    <w:rsid w:val="419A6EFE"/>
    <w:rsid w:val="41B3CE41"/>
    <w:rsid w:val="41C0C9FA"/>
    <w:rsid w:val="41C9D703"/>
    <w:rsid w:val="41CD036E"/>
    <w:rsid w:val="41D23968"/>
    <w:rsid w:val="41E2613E"/>
    <w:rsid w:val="41E35B69"/>
    <w:rsid w:val="41E5CF5E"/>
    <w:rsid w:val="41EDA8CA"/>
    <w:rsid w:val="41EFF28B"/>
    <w:rsid w:val="41F2AC1D"/>
    <w:rsid w:val="4204ECE2"/>
    <w:rsid w:val="420B84F9"/>
    <w:rsid w:val="420EE394"/>
    <w:rsid w:val="4210CF31"/>
    <w:rsid w:val="42179AD6"/>
    <w:rsid w:val="42353FA8"/>
    <w:rsid w:val="4269723B"/>
    <w:rsid w:val="426C2872"/>
    <w:rsid w:val="427A48D5"/>
    <w:rsid w:val="42875C1B"/>
    <w:rsid w:val="428E2ECB"/>
    <w:rsid w:val="4292E0A2"/>
    <w:rsid w:val="4293FB78"/>
    <w:rsid w:val="429EA5C9"/>
    <w:rsid w:val="42A1835C"/>
    <w:rsid w:val="42A4D309"/>
    <w:rsid w:val="42AF8A31"/>
    <w:rsid w:val="42B278F1"/>
    <w:rsid w:val="42B92E4D"/>
    <w:rsid w:val="42C8C720"/>
    <w:rsid w:val="42CA3447"/>
    <w:rsid w:val="42D06D4C"/>
    <w:rsid w:val="42D17F2F"/>
    <w:rsid w:val="42D9A390"/>
    <w:rsid w:val="42DE8151"/>
    <w:rsid w:val="42E899DF"/>
    <w:rsid w:val="430239B5"/>
    <w:rsid w:val="4304CC7B"/>
    <w:rsid w:val="430E8C99"/>
    <w:rsid w:val="43103B4D"/>
    <w:rsid w:val="4313A3B1"/>
    <w:rsid w:val="431FC4E9"/>
    <w:rsid w:val="432CC5CC"/>
    <w:rsid w:val="43307F54"/>
    <w:rsid w:val="43333DBE"/>
    <w:rsid w:val="433F45B4"/>
    <w:rsid w:val="4345E46A"/>
    <w:rsid w:val="4359FBBB"/>
    <w:rsid w:val="43601A7E"/>
    <w:rsid w:val="4375DE70"/>
    <w:rsid w:val="437D00AB"/>
    <w:rsid w:val="437F2BCA"/>
    <w:rsid w:val="4383FBAF"/>
    <w:rsid w:val="43A15E79"/>
    <w:rsid w:val="43A3B660"/>
    <w:rsid w:val="43A7AA31"/>
    <w:rsid w:val="43AE489E"/>
    <w:rsid w:val="43AE5E4C"/>
    <w:rsid w:val="43B1C5A0"/>
    <w:rsid w:val="43B20089"/>
    <w:rsid w:val="43B2EB65"/>
    <w:rsid w:val="43B4C937"/>
    <w:rsid w:val="43B828F6"/>
    <w:rsid w:val="43BA9A90"/>
    <w:rsid w:val="43C90B31"/>
    <w:rsid w:val="43C9A87A"/>
    <w:rsid w:val="43E15316"/>
    <w:rsid w:val="43E54EEB"/>
    <w:rsid w:val="43F1BECB"/>
    <w:rsid w:val="43F75D68"/>
    <w:rsid w:val="43FA2819"/>
    <w:rsid w:val="440C3430"/>
    <w:rsid w:val="441179F0"/>
    <w:rsid w:val="4411A96B"/>
    <w:rsid w:val="4416CBDD"/>
    <w:rsid w:val="44176CFE"/>
    <w:rsid w:val="442337AC"/>
    <w:rsid w:val="44277E07"/>
    <w:rsid w:val="4430E410"/>
    <w:rsid w:val="4431E75D"/>
    <w:rsid w:val="4435B576"/>
    <w:rsid w:val="443C9F3E"/>
    <w:rsid w:val="443EB15F"/>
    <w:rsid w:val="444CA070"/>
    <w:rsid w:val="44649CBD"/>
    <w:rsid w:val="44695231"/>
    <w:rsid w:val="446FBB08"/>
    <w:rsid w:val="4471B2AD"/>
    <w:rsid w:val="4477926B"/>
    <w:rsid w:val="44781664"/>
    <w:rsid w:val="447D4703"/>
    <w:rsid w:val="448084D5"/>
    <w:rsid w:val="448AF645"/>
    <w:rsid w:val="44904ED4"/>
    <w:rsid w:val="44945557"/>
    <w:rsid w:val="4494DD88"/>
    <w:rsid w:val="4496072F"/>
    <w:rsid w:val="449A063A"/>
    <w:rsid w:val="449AAAA7"/>
    <w:rsid w:val="44A485FE"/>
    <w:rsid w:val="44A495DB"/>
    <w:rsid w:val="44B21572"/>
    <w:rsid w:val="44B28701"/>
    <w:rsid w:val="44B9DFE9"/>
    <w:rsid w:val="44CB26DC"/>
    <w:rsid w:val="44CD0CD9"/>
    <w:rsid w:val="44D321C0"/>
    <w:rsid w:val="44D4CDF2"/>
    <w:rsid w:val="44D60331"/>
    <w:rsid w:val="44D79361"/>
    <w:rsid w:val="44E279C3"/>
    <w:rsid w:val="44EE69E9"/>
    <w:rsid w:val="44EF7074"/>
    <w:rsid w:val="44F20FDF"/>
    <w:rsid w:val="44F27DA0"/>
    <w:rsid w:val="44F32A1A"/>
    <w:rsid w:val="44F71C07"/>
    <w:rsid w:val="44F9FA44"/>
    <w:rsid w:val="45016D28"/>
    <w:rsid w:val="4501EBF3"/>
    <w:rsid w:val="450B566B"/>
    <w:rsid w:val="45136EDD"/>
    <w:rsid w:val="45148D79"/>
    <w:rsid w:val="4514CBC5"/>
    <w:rsid w:val="4516F0B0"/>
    <w:rsid w:val="451C7A6C"/>
    <w:rsid w:val="451D3056"/>
    <w:rsid w:val="451F0E4F"/>
    <w:rsid w:val="451FD338"/>
    <w:rsid w:val="45218393"/>
    <w:rsid w:val="4525A66A"/>
    <w:rsid w:val="4527B6BE"/>
    <w:rsid w:val="452CB7C2"/>
    <w:rsid w:val="452F7CD5"/>
    <w:rsid w:val="4530226F"/>
    <w:rsid w:val="45328BB3"/>
    <w:rsid w:val="4535A6F6"/>
    <w:rsid w:val="45401EB4"/>
    <w:rsid w:val="4540EF9E"/>
    <w:rsid w:val="454311A7"/>
    <w:rsid w:val="4544C273"/>
    <w:rsid w:val="4549619F"/>
    <w:rsid w:val="454C938B"/>
    <w:rsid w:val="45709771"/>
    <w:rsid w:val="45766079"/>
    <w:rsid w:val="4578BDC4"/>
    <w:rsid w:val="457BB5CC"/>
    <w:rsid w:val="458B7415"/>
    <w:rsid w:val="458CE5E4"/>
    <w:rsid w:val="45913143"/>
    <w:rsid w:val="4591BDF8"/>
    <w:rsid w:val="4592123D"/>
    <w:rsid w:val="459B17C8"/>
    <w:rsid w:val="45A3DE17"/>
    <w:rsid w:val="45A68124"/>
    <w:rsid w:val="45AEF07A"/>
    <w:rsid w:val="45B73494"/>
    <w:rsid w:val="45BD9197"/>
    <w:rsid w:val="45C850F0"/>
    <w:rsid w:val="45CA2A91"/>
    <w:rsid w:val="45CACC10"/>
    <w:rsid w:val="45D65D3A"/>
    <w:rsid w:val="45DB84AE"/>
    <w:rsid w:val="45E65396"/>
    <w:rsid w:val="45E783AA"/>
    <w:rsid w:val="45F128A8"/>
    <w:rsid w:val="45F68561"/>
    <w:rsid w:val="45FC9E3D"/>
    <w:rsid w:val="45FFC1C1"/>
    <w:rsid w:val="4609B602"/>
    <w:rsid w:val="460C42AF"/>
    <w:rsid w:val="460FD210"/>
    <w:rsid w:val="4610B518"/>
    <w:rsid w:val="461570D3"/>
    <w:rsid w:val="4615A315"/>
    <w:rsid w:val="4616F01E"/>
    <w:rsid w:val="462BB7D6"/>
    <w:rsid w:val="4633724C"/>
    <w:rsid w:val="46376946"/>
    <w:rsid w:val="46418D58"/>
    <w:rsid w:val="4645CF43"/>
    <w:rsid w:val="464BC02C"/>
    <w:rsid w:val="464DA7F1"/>
    <w:rsid w:val="465CDB5D"/>
    <w:rsid w:val="4663650E"/>
    <w:rsid w:val="466D317B"/>
    <w:rsid w:val="4675D1A1"/>
    <w:rsid w:val="467BA9A7"/>
    <w:rsid w:val="467DE15D"/>
    <w:rsid w:val="4682ACFF"/>
    <w:rsid w:val="4687726B"/>
    <w:rsid w:val="4691B51D"/>
    <w:rsid w:val="469620F6"/>
    <w:rsid w:val="4698ECAD"/>
    <w:rsid w:val="469A43D6"/>
    <w:rsid w:val="46A08A9A"/>
    <w:rsid w:val="46A11AFA"/>
    <w:rsid w:val="46B59596"/>
    <w:rsid w:val="46BAF113"/>
    <w:rsid w:val="46BBAAC7"/>
    <w:rsid w:val="46BCAD7E"/>
    <w:rsid w:val="46C746EE"/>
    <w:rsid w:val="46CB6ACD"/>
    <w:rsid w:val="46CCBBE9"/>
    <w:rsid w:val="46D51B75"/>
    <w:rsid w:val="46D6623F"/>
    <w:rsid w:val="46D7372D"/>
    <w:rsid w:val="46DDC63F"/>
    <w:rsid w:val="46E00A0D"/>
    <w:rsid w:val="46ED17F0"/>
    <w:rsid w:val="46EE494E"/>
    <w:rsid w:val="46F2C1E0"/>
    <w:rsid w:val="46F73498"/>
    <w:rsid w:val="47038C4B"/>
    <w:rsid w:val="47072DA5"/>
    <w:rsid w:val="470854D5"/>
    <w:rsid w:val="470C7824"/>
    <w:rsid w:val="4711D445"/>
    <w:rsid w:val="4716B480"/>
    <w:rsid w:val="471C3860"/>
    <w:rsid w:val="47266B1C"/>
    <w:rsid w:val="4728670A"/>
    <w:rsid w:val="47289D6B"/>
    <w:rsid w:val="472A5881"/>
    <w:rsid w:val="472F1FBE"/>
    <w:rsid w:val="47324693"/>
    <w:rsid w:val="47330A7D"/>
    <w:rsid w:val="4737505D"/>
    <w:rsid w:val="47398CED"/>
    <w:rsid w:val="473CD026"/>
    <w:rsid w:val="475A4E7B"/>
    <w:rsid w:val="475BAB36"/>
    <w:rsid w:val="4765A49A"/>
    <w:rsid w:val="4768A1C1"/>
    <w:rsid w:val="47706E82"/>
    <w:rsid w:val="47754082"/>
    <w:rsid w:val="4775A31C"/>
    <w:rsid w:val="4778D3A9"/>
    <w:rsid w:val="477CA933"/>
    <w:rsid w:val="4782B998"/>
    <w:rsid w:val="47854201"/>
    <w:rsid w:val="478F1626"/>
    <w:rsid w:val="47936EBD"/>
    <w:rsid w:val="479FF399"/>
    <w:rsid w:val="47A6E6EE"/>
    <w:rsid w:val="47AA30B8"/>
    <w:rsid w:val="47B2EB47"/>
    <w:rsid w:val="47BC1F0F"/>
    <w:rsid w:val="47C4302C"/>
    <w:rsid w:val="47C9B516"/>
    <w:rsid w:val="47D1EB66"/>
    <w:rsid w:val="47DEDB33"/>
    <w:rsid w:val="47E91742"/>
    <w:rsid w:val="47F3BA2B"/>
    <w:rsid w:val="47F9FF07"/>
    <w:rsid w:val="4801BDD3"/>
    <w:rsid w:val="4805AE78"/>
    <w:rsid w:val="480DADB2"/>
    <w:rsid w:val="4813827A"/>
    <w:rsid w:val="481A5E22"/>
    <w:rsid w:val="481DB9FB"/>
    <w:rsid w:val="48249D44"/>
    <w:rsid w:val="48298F34"/>
    <w:rsid w:val="482D7972"/>
    <w:rsid w:val="48321350"/>
    <w:rsid w:val="48357509"/>
    <w:rsid w:val="483770A8"/>
    <w:rsid w:val="483853CA"/>
    <w:rsid w:val="48461267"/>
    <w:rsid w:val="4847A23B"/>
    <w:rsid w:val="4848EA0B"/>
    <w:rsid w:val="48534F9C"/>
    <w:rsid w:val="4858C664"/>
    <w:rsid w:val="48598324"/>
    <w:rsid w:val="4862FC7D"/>
    <w:rsid w:val="48648383"/>
    <w:rsid w:val="48650E9E"/>
    <w:rsid w:val="486BA5BE"/>
    <w:rsid w:val="486FAB9E"/>
    <w:rsid w:val="4883D604"/>
    <w:rsid w:val="4886F494"/>
    <w:rsid w:val="4899704B"/>
    <w:rsid w:val="489C7431"/>
    <w:rsid w:val="489EFE4A"/>
    <w:rsid w:val="48BA6924"/>
    <w:rsid w:val="48BD1FF3"/>
    <w:rsid w:val="48D0FE33"/>
    <w:rsid w:val="48D7A2E6"/>
    <w:rsid w:val="48DCE2BA"/>
    <w:rsid w:val="48E7F260"/>
    <w:rsid w:val="48E8536E"/>
    <w:rsid w:val="48EC342B"/>
    <w:rsid w:val="48EE70B2"/>
    <w:rsid w:val="48F04427"/>
    <w:rsid w:val="48F6A8CF"/>
    <w:rsid w:val="48FB7DBC"/>
    <w:rsid w:val="48FBDC32"/>
    <w:rsid w:val="48FE4E4C"/>
    <w:rsid w:val="4902FEC3"/>
    <w:rsid w:val="49076DF0"/>
    <w:rsid w:val="490ED547"/>
    <w:rsid w:val="4910F02B"/>
    <w:rsid w:val="49138BE6"/>
    <w:rsid w:val="4913EFDF"/>
    <w:rsid w:val="4915B11C"/>
    <w:rsid w:val="49167A19"/>
    <w:rsid w:val="4919E3A0"/>
    <w:rsid w:val="49238223"/>
    <w:rsid w:val="492905E7"/>
    <w:rsid w:val="492F6156"/>
    <w:rsid w:val="493815C3"/>
    <w:rsid w:val="493FBF99"/>
    <w:rsid w:val="494C7E98"/>
    <w:rsid w:val="494FD168"/>
    <w:rsid w:val="4957BF19"/>
    <w:rsid w:val="4958A29E"/>
    <w:rsid w:val="495BE5BA"/>
    <w:rsid w:val="4974325F"/>
    <w:rsid w:val="49762DC4"/>
    <w:rsid w:val="497A8F8C"/>
    <w:rsid w:val="499C2EA5"/>
    <w:rsid w:val="49A0D261"/>
    <w:rsid w:val="49A6013E"/>
    <w:rsid w:val="49A8AA9F"/>
    <w:rsid w:val="49A97DCE"/>
    <w:rsid w:val="49AC6196"/>
    <w:rsid w:val="49AE56EE"/>
    <w:rsid w:val="49B2D1BD"/>
    <w:rsid w:val="49B7AAFF"/>
    <w:rsid w:val="49BFA1BA"/>
    <w:rsid w:val="49C40AFD"/>
    <w:rsid w:val="49C74446"/>
    <w:rsid w:val="49C77F5A"/>
    <w:rsid w:val="49C8C0BF"/>
    <w:rsid w:val="49C9AEA2"/>
    <w:rsid w:val="49DBA111"/>
    <w:rsid w:val="49DC4E7E"/>
    <w:rsid w:val="49E02828"/>
    <w:rsid w:val="49E902F8"/>
    <w:rsid w:val="49EA4347"/>
    <w:rsid w:val="49EE45E0"/>
    <w:rsid w:val="49EEF372"/>
    <w:rsid w:val="49F31C21"/>
    <w:rsid w:val="49F3E7DE"/>
    <w:rsid w:val="49F94E9E"/>
    <w:rsid w:val="49FE3A43"/>
    <w:rsid w:val="4A084DD0"/>
    <w:rsid w:val="4A1741E2"/>
    <w:rsid w:val="4A1A076C"/>
    <w:rsid w:val="4A270124"/>
    <w:rsid w:val="4A2DFECA"/>
    <w:rsid w:val="4A307CDD"/>
    <w:rsid w:val="4A47B4B9"/>
    <w:rsid w:val="4A562D29"/>
    <w:rsid w:val="4A585992"/>
    <w:rsid w:val="4A6B7B8E"/>
    <w:rsid w:val="4A73E7D2"/>
    <w:rsid w:val="4A793026"/>
    <w:rsid w:val="4A88CC8F"/>
    <w:rsid w:val="4A8EEA45"/>
    <w:rsid w:val="4A90361A"/>
    <w:rsid w:val="4A91D567"/>
    <w:rsid w:val="4AA5955A"/>
    <w:rsid w:val="4AAB2C10"/>
    <w:rsid w:val="4AAE98EA"/>
    <w:rsid w:val="4AB80EB8"/>
    <w:rsid w:val="4AC19610"/>
    <w:rsid w:val="4AC6C31D"/>
    <w:rsid w:val="4ACF33E6"/>
    <w:rsid w:val="4ACFAC6F"/>
    <w:rsid w:val="4ADB7492"/>
    <w:rsid w:val="4ADD9A53"/>
    <w:rsid w:val="4AE8C7CF"/>
    <w:rsid w:val="4AED9244"/>
    <w:rsid w:val="4AF49254"/>
    <w:rsid w:val="4AF4E4D2"/>
    <w:rsid w:val="4B02DF47"/>
    <w:rsid w:val="4B186EF9"/>
    <w:rsid w:val="4B1B9214"/>
    <w:rsid w:val="4B25D38A"/>
    <w:rsid w:val="4B295694"/>
    <w:rsid w:val="4B29A54B"/>
    <w:rsid w:val="4B312448"/>
    <w:rsid w:val="4B3415F8"/>
    <w:rsid w:val="4B35785E"/>
    <w:rsid w:val="4B3D18EE"/>
    <w:rsid w:val="4B3D2E36"/>
    <w:rsid w:val="4B455455"/>
    <w:rsid w:val="4B502839"/>
    <w:rsid w:val="4B51CA80"/>
    <w:rsid w:val="4B5E14D4"/>
    <w:rsid w:val="4B5FEF88"/>
    <w:rsid w:val="4B61EAF3"/>
    <w:rsid w:val="4B6926FD"/>
    <w:rsid w:val="4B6DFF12"/>
    <w:rsid w:val="4B84434C"/>
    <w:rsid w:val="4B89AD4C"/>
    <w:rsid w:val="4B96F332"/>
    <w:rsid w:val="4BACA32F"/>
    <w:rsid w:val="4BB02C39"/>
    <w:rsid w:val="4BB13874"/>
    <w:rsid w:val="4BC01F73"/>
    <w:rsid w:val="4BC96199"/>
    <w:rsid w:val="4BCAAF32"/>
    <w:rsid w:val="4BCCD31A"/>
    <w:rsid w:val="4BD76B1D"/>
    <w:rsid w:val="4BDEE326"/>
    <w:rsid w:val="4BE541CF"/>
    <w:rsid w:val="4BF0B952"/>
    <w:rsid w:val="4BF19CC2"/>
    <w:rsid w:val="4BF255A4"/>
    <w:rsid w:val="4BFCB7D7"/>
    <w:rsid w:val="4BFE181B"/>
    <w:rsid w:val="4C04C284"/>
    <w:rsid w:val="4C07AC2E"/>
    <w:rsid w:val="4C1275D9"/>
    <w:rsid w:val="4C16B8EF"/>
    <w:rsid w:val="4C229D4D"/>
    <w:rsid w:val="4C2C987A"/>
    <w:rsid w:val="4C2E6F67"/>
    <w:rsid w:val="4C300E6A"/>
    <w:rsid w:val="4C39C7AC"/>
    <w:rsid w:val="4C3C86FB"/>
    <w:rsid w:val="4C42554D"/>
    <w:rsid w:val="4C431622"/>
    <w:rsid w:val="4C473949"/>
    <w:rsid w:val="4C5975DA"/>
    <w:rsid w:val="4C5F3E9F"/>
    <w:rsid w:val="4C602689"/>
    <w:rsid w:val="4C69DCFC"/>
    <w:rsid w:val="4C70A413"/>
    <w:rsid w:val="4C73A45F"/>
    <w:rsid w:val="4C7E2DD7"/>
    <w:rsid w:val="4C83D669"/>
    <w:rsid w:val="4C8C9CBC"/>
    <w:rsid w:val="4C918830"/>
    <w:rsid w:val="4C932A86"/>
    <w:rsid w:val="4C93B1F9"/>
    <w:rsid w:val="4C953FA9"/>
    <w:rsid w:val="4CA25E84"/>
    <w:rsid w:val="4CAC62E7"/>
    <w:rsid w:val="4CAC7EDB"/>
    <w:rsid w:val="4CB069B7"/>
    <w:rsid w:val="4CB91793"/>
    <w:rsid w:val="4CBD18C6"/>
    <w:rsid w:val="4CBEC250"/>
    <w:rsid w:val="4CBFA47B"/>
    <w:rsid w:val="4CBFE529"/>
    <w:rsid w:val="4CC26E34"/>
    <w:rsid w:val="4CC74844"/>
    <w:rsid w:val="4CCBB519"/>
    <w:rsid w:val="4CD24A58"/>
    <w:rsid w:val="4CDBA9AF"/>
    <w:rsid w:val="4CDCCAE5"/>
    <w:rsid w:val="4CDF3E48"/>
    <w:rsid w:val="4CE39743"/>
    <w:rsid w:val="4CE5E968"/>
    <w:rsid w:val="4CEA22DB"/>
    <w:rsid w:val="4CF54B35"/>
    <w:rsid w:val="4CF60B95"/>
    <w:rsid w:val="4D08E427"/>
    <w:rsid w:val="4D0D5BF5"/>
    <w:rsid w:val="4D12ECDA"/>
    <w:rsid w:val="4D15F8B4"/>
    <w:rsid w:val="4D1B8717"/>
    <w:rsid w:val="4D28F36E"/>
    <w:rsid w:val="4D2AA8CC"/>
    <w:rsid w:val="4D2F6B6D"/>
    <w:rsid w:val="4D336F0B"/>
    <w:rsid w:val="4D36D10C"/>
    <w:rsid w:val="4D3A0C0B"/>
    <w:rsid w:val="4D3C66D8"/>
    <w:rsid w:val="4D4DEF56"/>
    <w:rsid w:val="4D53DE2E"/>
    <w:rsid w:val="4D551313"/>
    <w:rsid w:val="4D55C319"/>
    <w:rsid w:val="4D58309C"/>
    <w:rsid w:val="4D5D0D0A"/>
    <w:rsid w:val="4D5D4864"/>
    <w:rsid w:val="4D613041"/>
    <w:rsid w:val="4D646A3A"/>
    <w:rsid w:val="4D677D08"/>
    <w:rsid w:val="4D6AE3EC"/>
    <w:rsid w:val="4D6C655B"/>
    <w:rsid w:val="4D7F88AC"/>
    <w:rsid w:val="4D8A8A12"/>
    <w:rsid w:val="4D8FF42E"/>
    <w:rsid w:val="4D9802F2"/>
    <w:rsid w:val="4D9835A1"/>
    <w:rsid w:val="4DA66A6A"/>
    <w:rsid w:val="4DB1B103"/>
    <w:rsid w:val="4DB38081"/>
    <w:rsid w:val="4DC2599C"/>
    <w:rsid w:val="4DC76F7F"/>
    <w:rsid w:val="4DCE0290"/>
    <w:rsid w:val="4DD02A03"/>
    <w:rsid w:val="4DD27FC3"/>
    <w:rsid w:val="4DE17F74"/>
    <w:rsid w:val="4DE2DBE4"/>
    <w:rsid w:val="4E04623F"/>
    <w:rsid w:val="4E05E9BA"/>
    <w:rsid w:val="4E09ED3C"/>
    <w:rsid w:val="4E137CD7"/>
    <w:rsid w:val="4E1FE397"/>
    <w:rsid w:val="4E2B3A8F"/>
    <w:rsid w:val="4E2CCDB1"/>
    <w:rsid w:val="4E2E73F4"/>
    <w:rsid w:val="4E34D90B"/>
    <w:rsid w:val="4E370987"/>
    <w:rsid w:val="4E3D32F9"/>
    <w:rsid w:val="4E3FF2A3"/>
    <w:rsid w:val="4E4D3D3A"/>
    <w:rsid w:val="4E60EC89"/>
    <w:rsid w:val="4E635571"/>
    <w:rsid w:val="4E6A976C"/>
    <w:rsid w:val="4E7296DF"/>
    <w:rsid w:val="4E80FE8A"/>
    <w:rsid w:val="4E89007F"/>
    <w:rsid w:val="4E8AC7F0"/>
    <w:rsid w:val="4E8CB8D3"/>
    <w:rsid w:val="4E9092D0"/>
    <w:rsid w:val="4E92F15C"/>
    <w:rsid w:val="4E942103"/>
    <w:rsid w:val="4E99628A"/>
    <w:rsid w:val="4EAB1890"/>
    <w:rsid w:val="4EAF32CE"/>
    <w:rsid w:val="4EBA67AE"/>
    <w:rsid w:val="4EBE160C"/>
    <w:rsid w:val="4EC187E5"/>
    <w:rsid w:val="4EC38023"/>
    <w:rsid w:val="4EC6DBF9"/>
    <w:rsid w:val="4EC73A9E"/>
    <w:rsid w:val="4ECA6FA6"/>
    <w:rsid w:val="4ECDDA8E"/>
    <w:rsid w:val="4ED45A5B"/>
    <w:rsid w:val="4EDA3409"/>
    <w:rsid w:val="4EDE9F49"/>
    <w:rsid w:val="4EE080CF"/>
    <w:rsid w:val="4EF3412C"/>
    <w:rsid w:val="4EF353B9"/>
    <w:rsid w:val="4EF680ED"/>
    <w:rsid w:val="4EFC93F1"/>
    <w:rsid w:val="4F0110D4"/>
    <w:rsid w:val="4F0A3DA7"/>
    <w:rsid w:val="4F122565"/>
    <w:rsid w:val="4F155B8B"/>
    <w:rsid w:val="4F1744F2"/>
    <w:rsid w:val="4F176DA1"/>
    <w:rsid w:val="4F216C9E"/>
    <w:rsid w:val="4F23974A"/>
    <w:rsid w:val="4F243E66"/>
    <w:rsid w:val="4F24D743"/>
    <w:rsid w:val="4F25F213"/>
    <w:rsid w:val="4F2D4210"/>
    <w:rsid w:val="4F2F3EAE"/>
    <w:rsid w:val="4F3368D6"/>
    <w:rsid w:val="4F377FAB"/>
    <w:rsid w:val="4F3B4FFD"/>
    <w:rsid w:val="4F3D2D28"/>
    <w:rsid w:val="4F3D3066"/>
    <w:rsid w:val="4F3F3AB8"/>
    <w:rsid w:val="4F3FE698"/>
    <w:rsid w:val="4F437605"/>
    <w:rsid w:val="4F4CB28B"/>
    <w:rsid w:val="4F5130CA"/>
    <w:rsid w:val="4F5F4AE8"/>
    <w:rsid w:val="4F62C967"/>
    <w:rsid w:val="4F6C8BA1"/>
    <w:rsid w:val="4F6EA789"/>
    <w:rsid w:val="4F7E113C"/>
    <w:rsid w:val="4F92764D"/>
    <w:rsid w:val="4FA1A789"/>
    <w:rsid w:val="4FA76634"/>
    <w:rsid w:val="4FAE4F12"/>
    <w:rsid w:val="4FC432F3"/>
    <w:rsid w:val="4FC71F2F"/>
    <w:rsid w:val="4FCA1A98"/>
    <w:rsid w:val="4FDA4CCC"/>
    <w:rsid w:val="4FDE1FCB"/>
    <w:rsid w:val="4FEBFB0D"/>
    <w:rsid w:val="4FF0BCF9"/>
    <w:rsid w:val="4FF759E2"/>
    <w:rsid w:val="501614D6"/>
    <w:rsid w:val="50180D92"/>
    <w:rsid w:val="50252F36"/>
    <w:rsid w:val="502E7D3F"/>
    <w:rsid w:val="502E95AC"/>
    <w:rsid w:val="50305EEB"/>
    <w:rsid w:val="5031DB43"/>
    <w:rsid w:val="503404D3"/>
    <w:rsid w:val="503489D8"/>
    <w:rsid w:val="503B7406"/>
    <w:rsid w:val="5043642A"/>
    <w:rsid w:val="504AA711"/>
    <w:rsid w:val="504B558E"/>
    <w:rsid w:val="50529AEA"/>
    <w:rsid w:val="50588BC9"/>
    <w:rsid w:val="505FFC0D"/>
    <w:rsid w:val="50602AD7"/>
    <w:rsid w:val="50669C24"/>
    <w:rsid w:val="5067AF9A"/>
    <w:rsid w:val="50698BBC"/>
    <w:rsid w:val="506B0ED9"/>
    <w:rsid w:val="50728EC6"/>
    <w:rsid w:val="5077FD73"/>
    <w:rsid w:val="5079D445"/>
    <w:rsid w:val="507A9930"/>
    <w:rsid w:val="507E31FC"/>
    <w:rsid w:val="50870EBC"/>
    <w:rsid w:val="508B4DFA"/>
    <w:rsid w:val="5097A039"/>
    <w:rsid w:val="50AB32F9"/>
    <w:rsid w:val="50AD767B"/>
    <w:rsid w:val="50B41320"/>
    <w:rsid w:val="50B86761"/>
    <w:rsid w:val="50BD3B3D"/>
    <w:rsid w:val="50C02F4C"/>
    <w:rsid w:val="50C39C2D"/>
    <w:rsid w:val="50C6EB83"/>
    <w:rsid w:val="50EA57C3"/>
    <w:rsid w:val="50EBA0FF"/>
    <w:rsid w:val="50EC819A"/>
    <w:rsid w:val="50EF2D69"/>
    <w:rsid w:val="50EFE19C"/>
    <w:rsid w:val="50F2981E"/>
    <w:rsid w:val="50F69FC1"/>
    <w:rsid w:val="50F71D9D"/>
    <w:rsid w:val="50FEEF74"/>
    <w:rsid w:val="510A3515"/>
    <w:rsid w:val="510C55EB"/>
    <w:rsid w:val="511163E5"/>
    <w:rsid w:val="511234B9"/>
    <w:rsid w:val="51129048"/>
    <w:rsid w:val="5116B9D8"/>
    <w:rsid w:val="511DBAEE"/>
    <w:rsid w:val="51207745"/>
    <w:rsid w:val="51288046"/>
    <w:rsid w:val="512986AF"/>
    <w:rsid w:val="5129A9AE"/>
    <w:rsid w:val="512C5CCE"/>
    <w:rsid w:val="5135F686"/>
    <w:rsid w:val="5137A76C"/>
    <w:rsid w:val="513A825B"/>
    <w:rsid w:val="514127A3"/>
    <w:rsid w:val="5147D8A4"/>
    <w:rsid w:val="514C6601"/>
    <w:rsid w:val="51510D07"/>
    <w:rsid w:val="51571896"/>
    <w:rsid w:val="51577A37"/>
    <w:rsid w:val="5157D9B6"/>
    <w:rsid w:val="515893B9"/>
    <w:rsid w:val="5160C6A1"/>
    <w:rsid w:val="516553BE"/>
    <w:rsid w:val="516CF572"/>
    <w:rsid w:val="516F79F9"/>
    <w:rsid w:val="5181B115"/>
    <w:rsid w:val="5182D310"/>
    <w:rsid w:val="51888A99"/>
    <w:rsid w:val="5191C627"/>
    <w:rsid w:val="519395E6"/>
    <w:rsid w:val="51A0E834"/>
    <w:rsid w:val="51A346A7"/>
    <w:rsid w:val="51AC9367"/>
    <w:rsid w:val="51B4DF90"/>
    <w:rsid w:val="51BF4A74"/>
    <w:rsid w:val="51C08642"/>
    <w:rsid w:val="51C47F9B"/>
    <w:rsid w:val="51CB2C9E"/>
    <w:rsid w:val="51CE4860"/>
    <w:rsid w:val="51D04A44"/>
    <w:rsid w:val="51D075F9"/>
    <w:rsid w:val="51D31787"/>
    <w:rsid w:val="51DE698B"/>
    <w:rsid w:val="51E08F05"/>
    <w:rsid w:val="51EB5A61"/>
    <w:rsid w:val="51EC729D"/>
    <w:rsid w:val="51F487E7"/>
    <w:rsid w:val="51FEFD01"/>
    <w:rsid w:val="52044FCD"/>
    <w:rsid w:val="5216E95D"/>
    <w:rsid w:val="52209EE6"/>
    <w:rsid w:val="52243DA5"/>
    <w:rsid w:val="52283752"/>
    <w:rsid w:val="52386832"/>
    <w:rsid w:val="523A9785"/>
    <w:rsid w:val="523CD1EB"/>
    <w:rsid w:val="52559725"/>
    <w:rsid w:val="525727B4"/>
    <w:rsid w:val="525BE881"/>
    <w:rsid w:val="525D86AF"/>
    <w:rsid w:val="525EDF8E"/>
    <w:rsid w:val="525FDE88"/>
    <w:rsid w:val="5272B4C0"/>
    <w:rsid w:val="52851F07"/>
    <w:rsid w:val="528F34F1"/>
    <w:rsid w:val="5290C587"/>
    <w:rsid w:val="5299EE74"/>
    <w:rsid w:val="529B8251"/>
    <w:rsid w:val="529F2686"/>
    <w:rsid w:val="52A33DB1"/>
    <w:rsid w:val="52A522D1"/>
    <w:rsid w:val="52A5D196"/>
    <w:rsid w:val="52A619CB"/>
    <w:rsid w:val="52A8CB0F"/>
    <w:rsid w:val="52AB592C"/>
    <w:rsid w:val="52AC5793"/>
    <w:rsid w:val="52ACC2FD"/>
    <w:rsid w:val="52C09CF7"/>
    <w:rsid w:val="52C23A6A"/>
    <w:rsid w:val="52C79567"/>
    <w:rsid w:val="52D86FD7"/>
    <w:rsid w:val="52DC0164"/>
    <w:rsid w:val="52DDDA97"/>
    <w:rsid w:val="52E4942B"/>
    <w:rsid w:val="52E54A83"/>
    <w:rsid w:val="52E91322"/>
    <w:rsid w:val="52F42BEF"/>
    <w:rsid w:val="52F8B931"/>
    <w:rsid w:val="53093DEC"/>
    <w:rsid w:val="530F0F33"/>
    <w:rsid w:val="5317FCE4"/>
    <w:rsid w:val="53180104"/>
    <w:rsid w:val="531D6BD4"/>
    <w:rsid w:val="531FB9A2"/>
    <w:rsid w:val="5320FDC9"/>
    <w:rsid w:val="53257A41"/>
    <w:rsid w:val="5341B1E0"/>
    <w:rsid w:val="534DAD67"/>
    <w:rsid w:val="53525079"/>
    <w:rsid w:val="5352B96C"/>
    <w:rsid w:val="5367A2AB"/>
    <w:rsid w:val="5368518F"/>
    <w:rsid w:val="536999C2"/>
    <w:rsid w:val="536D865B"/>
    <w:rsid w:val="536F8F99"/>
    <w:rsid w:val="5379B565"/>
    <w:rsid w:val="537AC208"/>
    <w:rsid w:val="53866174"/>
    <w:rsid w:val="53905848"/>
    <w:rsid w:val="5394203A"/>
    <w:rsid w:val="53998AFD"/>
    <w:rsid w:val="539B9EA0"/>
    <w:rsid w:val="53A3D7B0"/>
    <w:rsid w:val="53A6F217"/>
    <w:rsid w:val="53A900FE"/>
    <w:rsid w:val="53AA9C3B"/>
    <w:rsid w:val="53AAFB06"/>
    <w:rsid w:val="53ACB06D"/>
    <w:rsid w:val="53B1BFC4"/>
    <w:rsid w:val="53C3FE46"/>
    <w:rsid w:val="53D16BF4"/>
    <w:rsid w:val="53D614C7"/>
    <w:rsid w:val="53D7E9E2"/>
    <w:rsid w:val="53E5D63A"/>
    <w:rsid w:val="53E6A9F4"/>
    <w:rsid w:val="53ECB9FC"/>
    <w:rsid w:val="53F33648"/>
    <w:rsid w:val="53F3D07B"/>
    <w:rsid w:val="53F5F097"/>
    <w:rsid w:val="540FBFCD"/>
    <w:rsid w:val="541562E4"/>
    <w:rsid w:val="54182F70"/>
    <w:rsid w:val="5421FFF9"/>
    <w:rsid w:val="5422CE66"/>
    <w:rsid w:val="54242DCF"/>
    <w:rsid w:val="5429C537"/>
    <w:rsid w:val="542E5246"/>
    <w:rsid w:val="543048B5"/>
    <w:rsid w:val="54345754"/>
    <w:rsid w:val="5434E545"/>
    <w:rsid w:val="54426274"/>
    <w:rsid w:val="544AE849"/>
    <w:rsid w:val="544CFDFD"/>
    <w:rsid w:val="544DDCA6"/>
    <w:rsid w:val="545794B9"/>
    <w:rsid w:val="545891C1"/>
    <w:rsid w:val="5459514B"/>
    <w:rsid w:val="545AA6DF"/>
    <w:rsid w:val="547386FC"/>
    <w:rsid w:val="5477DF77"/>
    <w:rsid w:val="54A0FBA6"/>
    <w:rsid w:val="54A28ACB"/>
    <w:rsid w:val="54A44D36"/>
    <w:rsid w:val="54ABDC5A"/>
    <w:rsid w:val="54B3F318"/>
    <w:rsid w:val="54B9AD04"/>
    <w:rsid w:val="54BE0577"/>
    <w:rsid w:val="54C4D33A"/>
    <w:rsid w:val="54C8551A"/>
    <w:rsid w:val="54D10BEE"/>
    <w:rsid w:val="54D42DAE"/>
    <w:rsid w:val="54D48A17"/>
    <w:rsid w:val="54D7E9C3"/>
    <w:rsid w:val="54DB9C9B"/>
    <w:rsid w:val="54E78DDA"/>
    <w:rsid w:val="54EE61F1"/>
    <w:rsid w:val="54F44022"/>
    <w:rsid w:val="54F67462"/>
    <w:rsid w:val="54FCC6C8"/>
    <w:rsid w:val="55030FA6"/>
    <w:rsid w:val="550AA79B"/>
    <w:rsid w:val="55106D4E"/>
    <w:rsid w:val="55142DF0"/>
    <w:rsid w:val="55171F44"/>
    <w:rsid w:val="5519296F"/>
    <w:rsid w:val="551A8414"/>
    <w:rsid w:val="5520BB76"/>
    <w:rsid w:val="5520ED27"/>
    <w:rsid w:val="5523E765"/>
    <w:rsid w:val="5524135F"/>
    <w:rsid w:val="55390D7B"/>
    <w:rsid w:val="553AF0BF"/>
    <w:rsid w:val="55455E6C"/>
    <w:rsid w:val="55470C93"/>
    <w:rsid w:val="55498C24"/>
    <w:rsid w:val="554E7BCD"/>
    <w:rsid w:val="5550B0EA"/>
    <w:rsid w:val="55590B03"/>
    <w:rsid w:val="55618BE2"/>
    <w:rsid w:val="55621A69"/>
    <w:rsid w:val="55641FDF"/>
    <w:rsid w:val="5564DE17"/>
    <w:rsid w:val="5571A782"/>
    <w:rsid w:val="5573DBCE"/>
    <w:rsid w:val="55755FD0"/>
    <w:rsid w:val="5575FD3D"/>
    <w:rsid w:val="557C33E6"/>
    <w:rsid w:val="558F0678"/>
    <w:rsid w:val="55907B51"/>
    <w:rsid w:val="55A22C17"/>
    <w:rsid w:val="55ABA1D5"/>
    <w:rsid w:val="55AD158F"/>
    <w:rsid w:val="55BB1BAE"/>
    <w:rsid w:val="55BFCF71"/>
    <w:rsid w:val="55C1103B"/>
    <w:rsid w:val="55C1FA65"/>
    <w:rsid w:val="55E0D45F"/>
    <w:rsid w:val="55EE17DE"/>
    <w:rsid w:val="55F017E0"/>
    <w:rsid w:val="55F068FF"/>
    <w:rsid w:val="55F23AFA"/>
    <w:rsid w:val="55F6E49F"/>
    <w:rsid w:val="5602F16E"/>
    <w:rsid w:val="56041F47"/>
    <w:rsid w:val="56085F2A"/>
    <w:rsid w:val="561A09DE"/>
    <w:rsid w:val="562DCDDF"/>
    <w:rsid w:val="56362E57"/>
    <w:rsid w:val="5640E843"/>
    <w:rsid w:val="5648C3E7"/>
    <w:rsid w:val="564B5FA2"/>
    <w:rsid w:val="564CB47B"/>
    <w:rsid w:val="565008C0"/>
    <w:rsid w:val="56513CBF"/>
    <w:rsid w:val="5659D474"/>
    <w:rsid w:val="565B141F"/>
    <w:rsid w:val="5662EFED"/>
    <w:rsid w:val="5664EFC4"/>
    <w:rsid w:val="5667E35C"/>
    <w:rsid w:val="567410DF"/>
    <w:rsid w:val="56748180"/>
    <w:rsid w:val="567C5828"/>
    <w:rsid w:val="5682595A"/>
    <w:rsid w:val="5683B7B8"/>
    <w:rsid w:val="568EDE29"/>
    <w:rsid w:val="5699D7F5"/>
    <w:rsid w:val="569B0486"/>
    <w:rsid w:val="56A1BDCC"/>
    <w:rsid w:val="56A22BFE"/>
    <w:rsid w:val="56AEF0CC"/>
    <w:rsid w:val="56BCF11F"/>
    <w:rsid w:val="56C35E5E"/>
    <w:rsid w:val="56C4E4CB"/>
    <w:rsid w:val="56CE3322"/>
    <w:rsid w:val="56D1B6ED"/>
    <w:rsid w:val="56D6A2DF"/>
    <w:rsid w:val="56D79C01"/>
    <w:rsid w:val="56DA1A43"/>
    <w:rsid w:val="56E74C33"/>
    <w:rsid w:val="56E91828"/>
    <w:rsid w:val="56EF2E4B"/>
    <w:rsid w:val="56FD33D0"/>
    <w:rsid w:val="5703CA26"/>
    <w:rsid w:val="570627F2"/>
    <w:rsid w:val="5706C2EC"/>
    <w:rsid w:val="57139C84"/>
    <w:rsid w:val="5714A3C4"/>
    <w:rsid w:val="571AC726"/>
    <w:rsid w:val="5723DB3C"/>
    <w:rsid w:val="572A12EF"/>
    <w:rsid w:val="572E2EEF"/>
    <w:rsid w:val="5731D954"/>
    <w:rsid w:val="5745FBB8"/>
    <w:rsid w:val="57489750"/>
    <w:rsid w:val="574CFDB5"/>
    <w:rsid w:val="574DEF82"/>
    <w:rsid w:val="574FFB57"/>
    <w:rsid w:val="574FFF90"/>
    <w:rsid w:val="57544251"/>
    <w:rsid w:val="57600BE4"/>
    <w:rsid w:val="576C69E1"/>
    <w:rsid w:val="576D3BAD"/>
    <w:rsid w:val="5771D2AB"/>
    <w:rsid w:val="57732436"/>
    <w:rsid w:val="5777F3FE"/>
    <w:rsid w:val="577901BA"/>
    <w:rsid w:val="57822ECF"/>
    <w:rsid w:val="57860A70"/>
    <w:rsid w:val="57864D07"/>
    <w:rsid w:val="579161BB"/>
    <w:rsid w:val="579433B6"/>
    <w:rsid w:val="5794D4C5"/>
    <w:rsid w:val="579BBE75"/>
    <w:rsid w:val="57AF68C6"/>
    <w:rsid w:val="57B13ED0"/>
    <w:rsid w:val="57B5FB5D"/>
    <w:rsid w:val="57B6179E"/>
    <w:rsid w:val="57B74985"/>
    <w:rsid w:val="57C0B349"/>
    <w:rsid w:val="57D22B1F"/>
    <w:rsid w:val="57D5CE6F"/>
    <w:rsid w:val="57E009A2"/>
    <w:rsid w:val="57E15B52"/>
    <w:rsid w:val="57EA16EB"/>
    <w:rsid w:val="57FAD309"/>
    <w:rsid w:val="580AB51B"/>
    <w:rsid w:val="58144E64"/>
    <w:rsid w:val="58149602"/>
    <w:rsid w:val="58240508"/>
    <w:rsid w:val="582994BC"/>
    <w:rsid w:val="582F5670"/>
    <w:rsid w:val="58308E43"/>
    <w:rsid w:val="5830EF6D"/>
    <w:rsid w:val="58348949"/>
    <w:rsid w:val="5846270A"/>
    <w:rsid w:val="5866610A"/>
    <w:rsid w:val="586AB551"/>
    <w:rsid w:val="58817122"/>
    <w:rsid w:val="5887D495"/>
    <w:rsid w:val="5889D403"/>
    <w:rsid w:val="588AA79F"/>
    <w:rsid w:val="58A642B0"/>
    <w:rsid w:val="58A84837"/>
    <w:rsid w:val="58B88DA6"/>
    <w:rsid w:val="58BADD4B"/>
    <w:rsid w:val="58BC9360"/>
    <w:rsid w:val="58C4771C"/>
    <w:rsid w:val="58CDF7C9"/>
    <w:rsid w:val="58CFFC6F"/>
    <w:rsid w:val="58DE30CF"/>
    <w:rsid w:val="58E4CB79"/>
    <w:rsid w:val="58EFC1D0"/>
    <w:rsid w:val="58F10FCF"/>
    <w:rsid w:val="5905AC9A"/>
    <w:rsid w:val="5908C80C"/>
    <w:rsid w:val="590C040D"/>
    <w:rsid w:val="590F599E"/>
    <w:rsid w:val="590FB583"/>
    <w:rsid w:val="5910E705"/>
    <w:rsid w:val="5914A0FA"/>
    <w:rsid w:val="59196686"/>
    <w:rsid w:val="5919AE64"/>
    <w:rsid w:val="591B43FE"/>
    <w:rsid w:val="59238C65"/>
    <w:rsid w:val="5923DCB6"/>
    <w:rsid w:val="592DE54E"/>
    <w:rsid w:val="5938E07F"/>
    <w:rsid w:val="593F5EF9"/>
    <w:rsid w:val="5945DD23"/>
    <w:rsid w:val="594D1299"/>
    <w:rsid w:val="5951D376"/>
    <w:rsid w:val="595EBCD4"/>
    <w:rsid w:val="5963C0A0"/>
    <w:rsid w:val="596E5FD2"/>
    <w:rsid w:val="596EB9FF"/>
    <w:rsid w:val="5978939C"/>
    <w:rsid w:val="597914A2"/>
    <w:rsid w:val="597B748E"/>
    <w:rsid w:val="5981DE7A"/>
    <w:rsid w:val="59821263"/>
    <w:rsid w:val="59836BFC"/>
    <w:rsid w:val="59865F67"/>
    <w:rsid w:val="59873E6A"/>
    <w:rsid w:val="59912878"/>
    <w:rsid w:val="5995E57D"/>
    <w:rsid w:val="5998DB45"/>
    <w:rsid w:val="59A331AD"/>
    <w:rsid w:val="59AA8A92"/>
    <w:rsid w:val="59B0983C"/>
    <w:rsid w:val="59D44F58"/>
    <w:rsid w:val="59D640EB"/>
    <w:rsid w:val="59D87E8C"/>
    <w:rsid w:val="59DDB8EF"/>
    <w:rsid w:val="5A0E43A1"/>
    <w:rsid w:val="5A0FBDE6"/>
    <w:rsid w:val="5A10400B"/>
    <w:rsid w:val="5A1103F1"/>
    <w:rsid w:val="5A11FD2F"/>
    <w:rsid w:val="5A243992"/>
    <w:rsid w:val="5A293F84"/>
    <w:rsid w:val="5A2BDCCD"/>
    <w:rsid w:val="5A2D00B5"/>
    <w:rsid w:val="5A317BB3"/>
    <w:rsid w:val="5A319C75"/>
    <w:rsid w:val="5A321D39"/>
    <w:rsid w:val="5A534D03"/>
    <w:rsid w:val="5A5D7D1A"/>
    <w:rsid w:val="5A651169"/>
    <w:rsid w:val="5A6B7D4D"/>
    <w:rsid w:val="5A6C633E"/>
    <w:rsid w:val="5A73AE42"/>
    <w:rsid w:val="5A76BB04"/>
    <w:rsid w:val="5A7FBF6B"/>
    <w:rsid w:val="5A81FEF2"/>
    <w:rsid w:val="5A890161"/>
    <w:rsid w:val="5A8964CA"/>
    <w:rsid w:val="5A8C25DE"/>
    <w:rsid w:val="5A8C498C"/>
    <w:rsid w:val="5AA5E64D"/>
    <w:rsid w:val="5AAD9F41"/>
    <w:rsid w:val="5AB39714"/>
    <w:rsid w:val="5ABAFE3F"/>
    <w:rsid w:val="5AC8BB32"/>
    <w:rsid w:val="5AC9027D"/>
    <w:rsid w:val="5AC92F1E"/>
    <w:rsid w:val="5AC95595"/>
    <w:rsid w:val="5ACA5B3F"/>
    <w:rsid w:val="5ACAADD1"/>
    <w:rsid w:val="5AD81BAB"/>
    <w:rsid w:val="5AD92689"/>
    <w:rsid w:val="5ADA6AF8"/>
    <w:rsid w:val="5AE53D88"/>
    <w:rsid w:val="5AE6C353"/>
    <w:rsid w:val="5AE9C6C7"/>
    <w:rsid w:val="5AF07E74"/>
    <w:rsid w:val="5AF276BF"/>
    <w:rsid w:val="5AF5A894"/>
    <w:rsid w:val="5AFED697"/>
    <w:rsid w:val="5B007F7C"/>
    <w:rsid w:val="5B04C7F0"/>
    <w:rsid w:val="5B0828D0"/>
    <w:rsid w:val="5B0A07E1"/>
    <w:rsid w:val="5B156487"/>
    <w:rsid w:val="5B16D0D5"/>
    <w:rsid w:val="5B1CFCC0"/>
    <w:rsid w:val="5B3D610F"/>
    <w:rsid w:val="5B43E368"/>
    <w:rsid w:val="5B469058"/>
    <w:rsid w:val="5B47A850"/>
    <w:rsid w:val="5B5A7C46"/>
    <w:rsid w:val="5B5DD562"/>
    <w:rsid w:val="5B609F96"/>
    <w:rsid w:val="5B6384D9"/>
    <w:rsid w:val="5B6B7607"/>
    <w:rsid w:val="5B751936"/>
    <w:rsid w:val="5B76111F"/>
    <w:rsid w:val="5B7D7157"/>
    <w:rsid w:val="5B8015DD"/>
    <w:rsid w:val="5B8AD8AC"/>
    <w:rsid w:val="5B94BF71"/>
    <w:rsid w:val="5B9CAA06"/>
    <w:rsid w:val="5BA33D09"/>
    <w:rsid w:val="5BA556C5"/>
    <w:rsid w:val="5BAF54B7"/>
    <w:rsid w:val="5BB5198C"/>
    <w:rsid w:val="5BBE3176"/>
    <w:rsid w:val="5BBF1325"/>
    <w:rsid w:val="5BC98863"/>
    <w:rsid w:val="5BCD29A2"/>
    <w:rsid w:val="5BD3380F"/>
    <w:rsid w:val="5BDA4737"/>
    <w:rsid w:val="5BDBEF70"/>
    <w:rsid w:val="5BDEC951"/>
    <w:rsid w:val="5BDF2EAD"/>
    <w:rsid w:val="5BE6ECF4"/>
    <w:rsid w:val="5BEF4C47"/>
    <w:rsid w:val="5BEF9BD3"/>
    <w:rsid w:val="5BFC50B8"/>
    <w:rsid w:val="5BFD1E9A"/>
    <w:rsid w:val="5C00D37C"/>
    <w:rsid w:val="5C04265C"/>
    <w:rsid w:val="5C052FBE"/>
    <w:rsid w:val="5C0853D1"/>
    <w:rsid w:val="5C172C13"/>
    <w:rsid w:val="5C18873A"/>
    <w:rsid w:val="5C1A0A27"/>
    <w:rsid w:val="5C1BEA84"/>
    <w:rsid w:val="5C1E8690"/>
    <w:rsid w:val="5C1FAFCD"/>
    <w:rsid w:val="5C270B19"/>
    <w:rsid w:val="5C2C4116"/>
    <w:rsid w:val="5C42A6DA"/>
    <w:rsid w:val="5C4370CC"/>
    <w:rsid w:val="5C44A86F"/>
    <w:rsid w:val="5C4747B7"/>
    <w:rsid w:val="5C474EF5"/>
    <w:rsid w:val="5C4CB322"/>
    <w:rsid w:val="5C4DDAD2"/>
    <w:rsid w:val="5C50569B"/>
    <w:rsid w:val="5C5DB3A8"/>
    <w:rsid w:val="5C619E15"/>
    <w:rsid w:val="5C68D58C"/>
    <w:rsid w:val="5C6B9235"/>
    <w:rsid w:val="5C6D11E7"/>
    <w:rsid w:val="5C6D660F"/>
    <w:rsid w:val="5C6FCC95"/>
    <w:rsid w:val="5C72473A"/>
    <w:rsid w:val="5C7397A8"/>
    <w:rsid w:val="5C845EC4"/>
    <w:rsid w:val="5C97D1E9"/>
    <w:rsid w:val="5C99D937"/>
    <w:rsid w:val="5CAABF9C"/>
    <w:rsid w:val="5CC85346"/>
    <w:rsid w:val="5CD53C85"/>
    <w:rsid w:val="5CDBE463"/>
    <w:rsid w:val="5CDFC818"/>
    <w:rsid w:val="5CE2532D"/>
    <w:rsid w:val="5CF2C2C7"/>
    <w:rsid w:val="5CFBCE58"/>
    <w:rsid w:val="5D04E440"/>
    <w:rsid w:val="5D086594"/>
    <w:rsid w:val="5D0F4273"/>
    <w:rsid w:val="5D0FFDD5"/>
    <w:rsid w:val="5D1D60EE"/>
    <w:rsid w:val="5D24806B"/>
    <w:rsid w:val="5D2751AF"/>
    <w:rsid w:val="5D362828"/>
    <w:rsid w:val="5D3A1618"/>
    <w:rsid w:val="5D4C906D"/>
    <w:rsid w:val="5D571B81"/>
    <w:rsid w:val="5D5994F0"/>
    <w:rsid w:val="5D630B80"/>
    <w:rsid w:val="5D69562C"/>
    <w:rsid w:val="5D738DBF"/>
    <w:rsid w:val="5D7A126D"/>
    <w:rsid w:val="5D7A6BFA"/>
    <w:rsid w:val="5D7C6BBF"/>
    <w:rsid w:val="5D878F98"/>
    <w:rsid w:val="5D883274"/>
    <w:rsid w:val="5D8B590F"/>
    <w:rsid w:val="5D8F93F8"/>
    <w:rsid w:val="5D916277"/>
    <w:rsid w:val="5D9C0C3E"/>
    <w:rsid w:val="5DA74986"/>
    <w:rsid w:val="5DB4290B"/>
    <w:rsid w:val="5DB7EF2B"/>
    <w:rsid w:val="5DB83B70"/>
    <w:rsid w:val="5DB8A459"/>
    <w:rsid w:val="5DBAFF64"/>
    <w:rsid w:val="5DBDCE28"/>
    <w:rsid w:val="5DCA1081"/>
    <w:rsid w:val="5DCB4628"/>
    <w:rsid w:val="5DCBA393"/>
    <w:rsid w:val="5DD844A9"/>
    <w:rsid w:val="5DE0CA83"/>
    <w:rsid w:val="5DE915E0"/>
    <w:rsid w:val="5DF10913"/>
    <w:rsid w:val="5DFD80C3"/>
    <w:rsid w:val="5DFE0794"/>
    <w:rsid w:val="5E0042DF"/>
    <w:rsid w:val="5E015BED"/>
    <w:rsid w:val="5E03F90F"/>
    <w:rsid w:val="5E07B65E"/>
    <w:rsid w:val="5E07E3E2"/>
    <w:rsid w:val="5E093537"/>
    <w:rsid w:val="5E1BB350"/>
    <w:rsid w:val="5E200F87"/>
    <w:rsid w:val="5E281BBB"/>
    <w:rsid w:val="5E29A955"/>
    <w:rsid w:val="5E2D6DE7"/>
    <w:rsid w:val="5E2F5CEB"/>
    <w:rsid w:val="5E372E1F"/>
    <w:rsid w:val="5E37D02F"/>
    <w:rsid w:val="5E38190D"/>
    <w:rsid w:val="5E3DCC27"/>
    <w:rsid w:val="5E4224FA"/>
    <w:rsid w:val="5E47E35A"/>
    <w:rsid w:val="5E4FBD95"/>
    <w:rsid w:val="5E50FE06"/>
    <w:rsid w:val="5E51CB70"/>
    <w:rsid w:val="5E52114E"/>
    <w:rsid w:val="5E5F5DA8"/>
    <w:rsid w:val="5E66CEDF"/>
    <w:rsid w:val="5E6BC590"/>
    <w:rsid w:val="5E7CBDDD"/>
    <w:rsid w:val="5E7FCD89"/>
    <w:rsid w:val="5E839BDC"/>
    <w:rsid w:val="5E884298"/>
    <w:rsid w:val="5E8EBC61"/>
    <w:rsid w:val="5E8EFD6B"/>
    <w:rsid w:val="5E9D3883"/>
    <w:rsid w:val="5E9D6D77"/>
    <w:rsid w:val="5EA435F5"/>
    <w:rsid w:val="5EA7D0E6"/>
    <w:rsid w:val="5EB545B8"/>
    <w:rsid w:val="5EC351A4"/>
    <w:rsid w:val="5ED3A0FE"/>
    <w:rsid w:val="5ED51A64"/>
    <w:rsid w:val="5ED711FC"/>
    <w:rsid w:val="5EDECAB3"/>
    <w:rsid w:val="5EE3F6D8"/>
    <w:rsid w:val="5EEBC5DA"/>
    <w:rsid w:val="5EF190EE"/>
    <w:rsid w:val="5EFDEEEA"/>
    <w:rsid w:val="5F00D228"/>
    <w:rsid w:val="5F137C1C"/>
    <w:rsid w:val="5F1E52CB"/>
    <w:rsid w:val="5F1E9ADC"/>
    <w:rsid w:val="5F2E2DAF"/>
    <w:rsid w:val="5F30E203"/>
    <w:rsid w:val="5F32A84C"/>
    <w:rsid w:val="5F34FE3A"/>
    <w:rsid w:val="5F43AB4E"/>
    <w:rsid w:val="5F4A131A"/>
    <w:rsid w:val="5F4C51A8"/>
    <w:rsid w:val="5F4D5A90"/>
    <w:rsid w:val="5F58E2B9"/>
    <w:rsid w:val="5F5E3A95"/>
    <w:rsid w:val="5F6A05AF"/>
    <w:rsid w:val="5F7FF3D6"/>
    <w:rsid w:val="5F89A979"/>
    <w:rsid w:val="5F9775CB"/>
    <w:rsid w:val="5F97BB92"/>
    <w:rsid w:val="5F9BB8D4"/>
    <w:rsid w:val="5F9C82DB"/>
    <w:rsid w:val="5F9EDB1D"/>
    <w:rsid w:val="5FA78AC9"/>
    <w:rsid w:val="5FB3EF4E"/>
    <w:rsid w:val="5FB58950"/>
    <w:rsid w:val="5FB5DD11"/>
    <w:rsid w:val="5FB81D12"/>
    <w:rsid w:val="5FBA1C11"/>
    <w:rsid w:val="5FBC7104"/>
    <w:rsid w:val="5FD4F60F"/>
    <w:rsid w:val="5FE003A5"/>
    <w:rsid w:val="5FE0C21F"/>
    <w:rsid w:val="5FE4217F"/>
    <w:rsid w:val="5FE8B6C9"/>
    <w:rsid w:val="5FEB3587"/>
    <w:rsid w:val="5FEB67C4"/>
    <w:rsid w:val="5FEB943B"/>
    <w:rsid w:val="5FF37B27"/>
    <w:rsid w:val="600E34F7"/>
    <w:rsid w:val="6010A212"/>
    <w:rsid w:val="601F10B2"/>
    <w:rsid w:val="602167CF"/>
    <w:rsid w:val="6021C795"/>
    <w:rsid w:val="602B8360"/>
    <w:rsid w:val="602E454B"/>
    <w:rsid w:val="60333D2C"/>
    <w:rsid w:val="603C5855"/>
    <w:rsid w:val="603FB824"/>
    <w:rsid w:val="603FD934"/>
    <w:rsid w:val="60465F4A"/>
    <w:rsid w:val="604BE2C6"/>
    <w:rsid w:val="604EF2A0"/>
    <w:rsid w:val="6050A0C0"/>
    <w:rsid w:val="60620B73"/>
    <w:rsid w:val="606CF93A"/>
    <w:rsid w:val="606D9015"/>
    <w:rsid w:val="607BC022"/>
    <w:rsid w:val="6082C5DA"/>
    <w:rsid w:val="6089F4B4"/>
    <w:rsid w:val="608F7051"/>
    <w:rsid w:val="6096D811"/>
    <w:rsid w:val="60A05DB7"/>
    <w:rsid w:val="60A62700"/>
    <w:rsid w:val="60AC2312"/>
    <w:rsid w:val="60C7A1CA"/>
    <w:rsid w:val="60C87B59"/>
    <w:rsid w:val="60C99DB1"/>
    <w:rsid w:val="60D93D05"/>
    <w:rsid w:val="60DF64A8"/>
    <w:rsid w:val="60E2379B"/>
    <w:rsid w:val="60E23983"/>
    <w:rsid w:val="60E7BF86"/>
    <w:rsid w:val="60E8DD12"/>
    <w:rsid w:val="60EB911E"/>
    <w:rsid w:val="60FC8F74"/>
    <w:rsid w:val="61068DBF"/>
    <w:rsid w:val="61088FB3"/>
    <w:rsid w:val="610D8437"/>
    <w:rsid w:val="611A0929"/>
    <w:rsid w:val="611A85E4"/>
    <w:rsid w:val="612CB5D0"/>
    <w:rsid w:val="613531E4"/>
    <w:rsid w:val="61372872"/>
    <w:rsid w:val="6142A4FB"/>
    <w:rsid w:val="614DD5AD"/>
    <w:rsid w:val="61505B2D"/>
    <w:rsid w:val="6169F66A"/>
    <w:rsid w:val="616ADE65"/>
    <w:rsid w:val="616D0974"/>
    <w:rsid w:val="616D70CF"/>
    <w:rsid w:val="617034CC"/>
    <w:rsid w:val="6193F624"/>
    <w:rsid w:val="6199C89B"/>
    <w:rsid w:val="61A03148"/>
    <w:rsid w:val="61A0565E"/>
    <w:rsid w:val="61AFCC5F"/>
    <w:rsid w:val="61B2A88B"/>
    <w:rsid w:val="61C62E3F"/>
    <w:rsid w:val="61D02E11"/>
    <w:rsid w:val="61DFC48F"/>
    <w:rsid w:val="61E13E3D"/>
    <w:rsid w:val="61E2E632"/>
    <w:rsid w:val="61EA399B"/>
    <w:rsid w:val="61EFBCAE"/>
    <w:rsid w:val="620DEE74"/>
    <w:rsid w:val="620E20CA"/>
    <w:rsid w:val="620FB6DD"/>
    <w:rsid w:val="6210AD37"/>
    <w:rsid w:val="6216B979"/>
    <w:rsid w:val="621B5C49"/>
    <w:rsid w:val="621C03F7"/>
    <w:rsid w:val="621ED5D1"/>
    <w:rsid w:val="6222E5FF"/>
    <w:rsid w:val="622D47A9"/>
    <w:rsid w:val="62352EF8"/>
    <w:rsid w:val="623A0ABA"/>
    <w:rsid w:val="624A701F"/>
    <w:rsid w:val="624F8DD7"/>
    <w:rsid w:val="625591E8"/>
    <w:rsid w:val="625E2607"/>
    <w:rsid w:val="626C6925"/>
    <w:rsid w:val="626E9329"/>
    <w:rsid w:val="62743E2B"/>
    <w:rsid w:val="62767806"/>
    <w:rsid w:val="6278398C"/>
    <w:rsid w:val="627C5C6B"/>
    <w:rsid w:val="627CEEA7"/>
    <w:rsid w:val="62831365"/>
    <w:rsid w:val="62835965"/>
    <w:rsid w:val="628EB2C7"/>
    <w:rsid w:val="6292DD82"/>
    <w:rsid w:val="62B19502"/>
    <w:rsid w:val="62B350EC"/>
    <w:rsid w:val="62B38F35"/>
    <w:rsid w:val="62BB44A6"/>
    <w:rsid w:val="62C118FF"/>
    <w:rsid w:val="62C16BDA"/>
    <w:rsid w:val="62D0A662"/>
    <w:rsid w:val="62D21534"/>
    <w:rsid w:val="62D397CA"/>
    <w:rsid w:val="62D574EE"/>
    <w:rsid w:val="62D6EEBD"/>
    <w:rsid w:val="62E5573A"/>
    <w:rsid w:val="62F21EB5"/>
    <w:rsid w:val="62F65925"/>
    <w:rsid w:val="62FD4926"/>
    <w:rsid w:val="6300ED43"/>
    <w:rsid w:val="6302B70B"/>
    <w:rsid w:val="6304A040"/>
    <w:rsid w:val="630FFB02"/>
    <w:rsid w:val="6310D72E"/>
    <w:rsid w:val="63180DB1"/>
    <w:rsid w:val="631AC070"/>
    <w:rsid w:val="631D01DB"/>
    <w:rsid w:val="631D1ED5"/>
    <w:rsid w:val="6332336C"/>
    <w:rsid w:val="6334A867"/>
    <w:rsid w:val="6334C85F"/>
    <w:rsid w:val="6336214B"/>
    <w:rsid w:val="63388A6F"/>
    <w:rsid w:val="633F63A7"/>
    <w:rsid w:val="6348FCE3"/>
    <w:rsid w:val="6353B0F3"/>
    <w:rsid w:val="6361D48B"/>
    <w:rsid w:val="636A64C2"/>
    <w:rsid w:val="6372831A"/>
    <w:rsid w:val="6378AA18"/>
    <w:rsid w:val="637CB43C"/>
    <w:rsid w:val="63964E4A"/>
    <w:rsid w:val="63971B0B"/>
    <w:rsid w:val="6399AB0D"/>
    <w:rsid w:val="639E8919"/>
    <w:rsid w:val="63A23AD4"/>
    <w:rsid w:val="63A28E41"/>
    <w:rsid w:val="63A65CEE"/>
    <w:rsid w:val="63A99DC5"/>
    <w:rsid w:val="63AA5F13"/>
    <w:rsid w:val="63AC8BBE"/>
    <w:rsid w:val="63AC9DF6"/>
    <w:rsid w:val="63AEA149"/>
    <w:rsid w:val="63B1FBD1"/>
    <w:rsid w:val="63B2C807"/>
    <w:rsid w:val="63B389FB"/>
    <w:rsid w:val="63BE91BF"/>
    <w:rsid w:val="63C0388F"/>
    <w:rsid w:val="63D7C535"/>
    <w:rsid w:val="63DBF92B"/>
    <w:rsid w:val="63ED34D7"/>
    <w:rsid w:val="63EF86B3"/>
    <w:rsid w:val="63EFDAA5"/>
    <w:rsid w:val="63FDB4A8"/>
    <w:rsid w:val="64056DF8"/>
    <w:rsid w:val="640B64A9"/>
    <w:rsid w:val="640EB6DC"/>
    <w:rsid w:val="6417A7D2"/>
    <w:rsid w:val="642407A1"/>
    <w:rsid w:val="6425D496"/>
    <w:rsid w:val="64291F73"/>
    <w:rsid w:val="642C0CBE"/>
    <w:rsid w:val="6431103D"/>
    <w:rsid w:val="643964BF"/>
    <w:rsid w:val="644B5C65"/>
    <w:rsid w:val="645540D2"/>
    <w:rsid w:val="645C3842"/>
    <w:rsid w:val="645DD49F"/>
    <w:rsid w:val="645E8EAC"/>
    <w:rsid w:val="6462B0D2"/>
    <w:rsid w:val="64638327"/>
    <w:rsid w:val="6464663F"/>
    <w:rsid w:val="646E6755"/>
    <w:rsid w:val="64780291"/>
    <w:rsid w:val="64817B4F"/>
    <w:rsid w:val="649E1F79"/>
    <w:rsid w:val="649F8E2C"/>
    <w:rsid w:val="64A404B4"/>
    <w:rsid w:val="64A986F1"/>
    <w:rsid w:val="64AAAAAD"/>
    <w:rsid w:val="64AFF1D3"/>
    <w:rsid w:val="64B8E840"/>
    <w:rsid w:val="64C2D5E3"/>
    <w:rsid w:val="64C482B1"/>
    <w:rsid w:val="64C58358"/>
    <w:rsid w:val="64C73DD7"/>
    <w:rsid w:val="64CB2BC4"/>
    <w:rsid w:val="64D382C8"/>
    <w:rsid w:val="64D551E1"/>
    <w:rsid w:val="64D851A8"/>
    <w:rsid w:val="64DC9DFB"/>
    <w:rsid w:val="64DE54F0"/>
    <w:rsid w:val="64FAD60B"/>
    <w:rsid w:val="64FEF024"/>
    <w:rsid w:val="650489AA"/>
    <w:rsid w:val="65113719"/>
    <w:rsid w:val="6512E303"/>
    <w:rsid w:val="65167D9E"/>
    <w:rsid w:val="651B6F36"/>
    <w:rsid w:val="651F1937"/>
    <w:rsid w:val="6520E66E"/>
    <w:rsid w:val="65232B4D"/>
    <w:rsid w:val="652B2A88"/>
    <w:rsid w:val="6536BA62"/>
    <w:rsid w:val="654FC464"/>
    <w:rsid w:val="6551A2F5"/>
    <w:rsid w:val="655636FD"/>
    <w:rsid w:val="655B9C97"/>
    <w:rsid w:val="65717A43"/>
    <w:rsid w:val="657C4D69"/>
    <w:rsid w:val="657C5F89"/>
    <w:rsid w:val="657CAE1C"/>
    <w:rsid w:val="657EBE41"/>
    <w:rsid w:val="65867960"/>
    <w:rsid w:val="65A14F29"/>
    <w:rsid w:val="65A55158"/>
    <w:rsid w:val="65A649A0"/>
    <w:rsid w:val="65A7A366"/>
    <w:rsid w:val="65AAE251"/>
    <w:rsid w:val="65B5D42C"/>
    <w:rsid w:val="65BE476E"/>
    <w:rsid w:val="65C046DB"/>
    <w:rsid w:val="65C1DB97"/>
    <w:rsid w:val="65C4C36B"/>
    <w:rsid w:val="65D5F1E4"/>
    <w:rsid w:val="65DA4516"/>
    <w:rsid w:val="65DDC9B0"/>
    <w:rsid w:val="65DF482D"/>
    <w:rsid w:val="65E36097"/>
    <w:rsid w:val="65EBC550"/>
    <w:rsid w:val="65EE21D3"/>
    <w:rsid w:val="65EF2F85"/>
    <w:rsid w:val="65F50B27"/>
    <w:rsid w:val="65F58626"/>
    <w:rsid w:val="65F924D0"/>
    <w:rsid w:val="66051BC1"/>
    <w:rsid w:val="6607A265"/>
    <w:rsid w:val="6610001F"/>
    <w:rsid w:val="6617EE13"/>
    <w:rsid w:val="661D7D35"/>
    <w:rsid w:val="6623C2A4"/>
    <w:rsid w:val="66246DA1"/>
    <w:rsid w:val="663072CD"/>
    <w:rsid w:val="6643C2B5"/>
    <w:rsid w:val="6644F106"/>
    <w:rsid w:val="66452FA0"/>
    <w:rsid w:val="66454663"/>
    <w:rsid w:val="6645B01D"/>
    <w:rsid w:val="66468E28"/>
    <w:rsid w:val="66496DD9"/>
    <w:rsid w:val="664E2D4E"/>
    <w:rsid w:val="6658FA7D"/>
    <w:rsid w:val="666686CA"/>
    <w:rsid w:val="666F8B2F"/>
    <w:rsid w:val="66700CE0"/>
    <w:rsid w:val="6675818E"/>
    <w:rsid w:val="667F1C2C"/>
    <w:rsid w:val="6681B6A6"/>
    <w:rsid w:val="66861F3A"/>
    <w:rsid w:val="668AE7D7"/>
    <w:rsid w:val="668D178F"/>
    <w:rsid w:val="669B8703"/>
    <w:rsid w:val="669CDB7F"/>
    <w:rsid w:val="66A4D119"/>
    <w:rsid w:val="66A560F0"/>
    <w:rsid w:val="66A9AF3F"/>
    <w:rsid w:val="66AB23EC"/>
    <w:rsid w:val="66AC41FB"/>
    <w:rsid w:val="66B4338A"/>
    <w:rsid w:val="66B70506"/>
    <w:rsid w:val="66B8F64B"/>
    <w:rsid w:val="66BDF546"/>
    <w:rsid w:val="66BE4E24"/>
    <w:rsid w:val="66C75EF5"/>
    <w:rsid w:val="66C99B45"/>
    <w:rsid w:val="66CAE704"/>
    <w:rsid w:val="66D98CFC"/>
    <w:rsid w:val="66E32912"/>
    <w:rsid w:val="66E5A317"/>
    <w:rsid w:val="66EE0834"/>
    <w:rsid w:val="66F8F059"/>
    <w:rsid w:val="66FA64EC"/>
    <w:rsid w:val="67041690"/>
    <w:rsid w:val="6706E97A"/>
    <w:rsid w:val="67108758"/>
    <w:rsid w:val="6710A3CD"/>
    <w:rsid w:val="6712F5D1"/>
    <w:rsid w:val="6714A14B"/>
    <w:rsid w:val="67218D65"/>
    <w:rsid w:val="67286F4C"/>
    <w:rsid w:val="67304D88"/>
    <w:rsid w:val="6731EEAE"/>
    <w:rsid w:val="67322378"/>
    <w:rsid w:val="673F7369"/>
    <w:rsid w:val="6742AD22"/>
    <w:rsid w:val="6745B4CF"/>
    <w:rsid w:val="674986CF"/>
    <w:rsid w:val="67499B1E"/>
    <w:rsid w:val="674A4B62"/>
    <w:rsid w:val="674B8B3E"/>
    <w:rsid w:val="67638FF7"/>
    <w:rsid w:val="676C135C"/>
    <w:rsid w:val="676CD70A"/>
    <w:rsid w:val="67829458"/>
    <w:rsid w:val="6783F7C5"/>
    <w:rsid w:val="678EB97C"/>
    <w:rsid w:val="679334B4"/>
    <w:rsid w:val="67983049"/>
    <w:rsid w:val="67A508A5"/>
    <w:rsid w:val="67A7FBAF"/>
    <w:rsid w:val="67B10D27"/>
    <w:rsid w:val="67B3AE2C"/>
    <w:rsid w:val="67B4C42C"/>
    <w:rsid w:val="67B55057"/>
    <w:rsid w:val="67B9AD2A"/>
    <w:rsid w:val="67B9D368"/>
    <w:rsid w:val="67BBD2F9"/>
    <w:rsid w:val="67BD29B0"/>
    <w:rsid w:val="67C67E83"/>
    <w:rsid w:val="67CBF8E7"/>
    <w:rsid w:val="67F69C05"/>
    <w:rsid w:val="67F7D17D"/>
    <w:rsid w:val="68039124"/>
    <w:rsid w:val="6804CA3C"/>
    <w:rsid w:val="680970BF"/>
    <w:rsid w:val="68130A17"/>
    <w:rsid w:val="6822C921"/>
    <w:rsid w:val="68262E78"/>
    <w:rsid w:val="6832ABA5"/>
    <w:rsid w:val="6835D860"/>
    <w:rsid w:val="68410BC6"/>
    <w:rsid w:val="6842C2EA"/>
    <w:rsid w:val="68449BDA"/>
    <w:rsid w:val="6846BFC8"/>
    <w:rsid w:val="68481D4D"/>
    <w:rsid w:val="68567849"/>
    <w:rsid w:val="6859E8B0"/>
    <w:rsid w:val="686137B3"/>
    <w:rsid w:val="6861F085"/>
    <w:rsid w:val="68622E0C"/>
    <w:rsid w:val="686385AB"/>
    <w:rsid w:val="6867CAA9"/>
    <w:rsid w:val="68717D9C"/>
    <w:rsid w:val="6875CEC6"/>
    <w:rsid w:val="6882B873"/>
    <w:rsid w:val="6886D3A5"/>
    <w:rsid w:val="688E0E83"/>
    <w:rsid w:val="689008DC"/>
    <w:rsid w:val="68973D83"/>
    <w:rsid w:val="689AF67B"/>
    <w:rsid w:val="68A10C83"/>
    <w:rsid w:val="68A631DC"/>
    <w:rsid w:val="68B2B7B8"/>
    <w:rsid w:val="68B9F215"/>
    <w:rsid w:val="68C8E1E9"/>
    <w:rsid w:val="68D38222"/>
    <w:rsid w:val="68D6B1F0"/>
    <w:rsid w:val="68D6E0FE"/>
    <w:rsid w:val="68D77CB5"/>
    <w:rsid w:val="68D8EE09"/>
    <w:rsid w:val="68DEA9FB"/>
    <w:rsid w:val="68E058CA"/>
    <w:rsid w:val="68F0AD53"/>
    <w:rsid w:val="68F3A54C"/>
    <w:rsid w:val="68F44BA4"/>
    <w:rsid w:val="690BB06E"/>
    <w:rsid w:val="690C677D"/>
    <w:rsid w:val="69156E40"/>
    <w:rsid w:val="6918CD1D"/>
    <w:rsid w:val="692114F2"/>
    <w:rsid w:val="6923FD07"/>
    <w:rsid w:val="693203B8"/>
    <w:rsid w:val="6937B6F6"/>
    <w:rsid w:val="693AB340"/>
    <w:rsid w:val="693E36AF"/>
    <w:rsid w:val="6953C971"/>
    <w:rsid w:val="695A1788"/>
    <w:rsid w:val="695DA20A"/>
    <w:rsid w:val="6965E043"/>
    <w:rsid w:val="6966D59C"/>
    <w:rsid w:val="696E6866"/>
    <w:rsid w:val="69729126"/>
    <w:rsid w:val="69749A47"/>
    <w:rsid w:val="697670B2"/>
    <w:rsid w:val="6976B1A8"/>
    <w:rsid w:val="697B13B3"/>
    <w:rsid w:val="697C8A48"/>
    <w:rsid w:val="697CB92A"/>
    <w:rsid w:val="6983C6C1"/>
    <w:rsid w:val="69843DF1"/>
    <w:rsid w:val="69865F60"/>
    <w:rsid w:val="698E558D"/>
    <w:rsid w:val="69B167B6"/>
    <w:rsid w:val="69B8EE00"/>
    <w:rsid w:val="69BF942F"/>
    <w:rsid w:val="69C1CC9C"/>
    <w:rsid w:val="69CEB23E"/>
    <w:rsid w:val="69D7618A"/>
    <w:rsid w:val="69DB29DE"/>
    <w:rsid w:val="69E53858"/>
    <w:rsid w:val="69EBD78B"/>
    <w:rsid w:val="69ED96F7"/>
    <w:rsid w:val="69EF9E79"/>
    <w:rsid w:val="69F380EB"/>
    <w:rsid w:val="69FD3D9A"/>
    <w:rsid w:val="6A054545"/>
    <w:rsid w:val="6A0E6A4C"/>
    <w:rsid w:val="6A1F8853"/>
    <w:rsid w:val="6A221911"/>
    <w:rsid w:val="6A2461F8"/>
    <w:rsid w:val="6A24B271"/>
    <w:rsid w:val="6A26FF23"/>
    <w:rsid w:val="6A286193"/>
    <w:rsid w:val="6A3478B1"/>
    <w:rsid w:val="6A3DEF33"/>
    <w:rsid w:val="6A43E102"/>
    <w:rsid w:val="6A4FDFDB"/>
    <w:rsid w:val="6A51C39B"/>
    <w:rsid w:val="6A5653D2"/>
    <w:rsid w:val="6A60E673"/>
    <w:rsid w:val="6A62780A"/>
    <w:rsid w:val="6A6563A2"/>
    <w:rsid w:val="6A6D03D1"/>
    <w:rsid w:val="6A72B36B"/>
    <w:rsid w:val="6A72C618"/>
    <w:rsid w:val="6A75CDAD"/>
    <w:rsid w:val="6A7629EB"/>
    <w:rsid w:val="6A7E1FDA"/>
    <w:rsid w:val="6A824EEE"/>
    <w:rsid w:val="6A851641"/>
    <w:rsid w:val="6A879EAD"/>
    <w:rsid w:val="6A90565B"/>
    <w:rsid w:val="6A940DBB"/>
    <w:rsid w:val="6A9B68B6"/>
    <w:rsid w:val="6AAA8B2E"/>
    <w:rsid w:val="6AADCA41"/>
    <w:rsid w:val="6AAF2356"/>
    <w:rsid w:val="6AC403D7"/>
    <w:rsid w:val="6ACABC4B"/>
    <w:rsid w:val="6ACD2E67"/>
    <w:rsid w:val="6AD47F9A"/>
    <w:rsid w:val="6AD89D20"/>
    <w:rsid w:val="6AD9CCA7"/>
    <w:rsid w:val="6AEA0AFB"/>
    <w:rsid w:val="6AEF20A9"/>
    <w:rsid w:val="6AEF4C5C"/>
    <w:rsid w:val="6AF3C5F7"/>
    <w:rsid w:val="6B008AE9"/>
    <w:rsid w:val="6B036756"/>
    <w:rsid w:val="6B05A42C"/>
    <w:rsid w:val="6B07CA45"/>
    <w:rsid w:val="6B0A38C7"/>
    <w:rsid w:val="6B120FF4"/>
    <w:rsid w:val="6B12F12E"/>
    <w:rsid w:val="6B19831E"/>
    <w:rsid w:val="6B24547B"/>
    <w:rsid w:val="6B3B0707"/>
    <w:rsid w:val="6B3C07D7"/>
    <w:rsid w:val="6B4D20F4"/>
    <w:rsid w:val="6B54E8C8"/>
    <w:rsid w:val="6B652919"/>
    <w:rsid w:val="6B6990A0"/>
    <w:rsid w:val="6B6E7046"/>
    <w:rsid w:val="6B74827E"/>
    <w:rsid w:val="6B846343"/>
    <w:rsid w:val="6B8AA4EB"/>
    <w:rsid w:val="6B923167"/>
    <w:rsid w:val="6BA28FE4"/>
    <w:rsid w:val="6BA54A02"/>
    <w:rsid w:val="6BB8D1FA"/>
    <w:rsid w:val="6BB988E3"/>
    <w:rsid w:val="6BB9D315"/>
    <w:rsid w:val="6BBA5935"/>
    <w:rsid w:val="6BBA7E1B"/>
    <w:rsid w:val="6BBADCC3"/>
    <w:rsid w:val="6BBD04EC"/>
    <w:rsid w:val="6BC52145"/>
    <w:rsid w:val="6BC95A40"/>
    <w:rsid w:val="6BC9C8EF"/>
    <w:rsid w:val="6BE74EC6"/>
    <w:rsid w:val="6BEF755D"/>
    <w:rsid w:val="6BF2C8A2"/>
    <w:rsid w:val="6BF593EE"/>
    <w:rsid w:val="6C05B01E"/>
    <w:rsid w:val="6C0AF2C4"/>
    <w:rsid w:val="6C16E4EA"/>
    <w:rsid w:val="6C1AB9DB"/>
    <w:rsid w:val="6C1B26B9"/>
    <w:rsid w:val="6C2AB2DE"/>
    <w:rsid w:val="6C2D8FF3"/>
    <w:rsid w:val="6C2E5A07"/>
    <w:rsid w:val="6C37C1EE"/>
    <w:rsid w:val="6C3B5E06"/>
    <w:rsid w:val="6C3C6CBD"/>
    <w:rsid w:val="6C412D4A"/>
    <w:rsid w:val="6C486418"/>
    <w:rsid w:val="6C492AB1"/>
    <w:rsid w:val="6C6E8D9F"/>
    <w:rsid w:val="6C6F5770"/>
    <w:rsid w:val="6C70AA68"/>
    <w:rsid w:val="6C70E6BB"/>
    <w:rsid w:val="6C78CF3D"/>
    <w:rsid w:val="6C7942B0"/>
    <w:rsid w:val="6C83734B"/>
    <w:rsid w:val="6C83C3B5"/>
    <w:rsid w:val="6C8E4191"/>
    <w:rsid w:val="6C93F42B"/>
    <w:rsid w:val="6C945B7A"/>
    <w:rsid w:val="6C96D86B"/>
    <w:rsid w:val="6C99A9B6"/>
    <w:rsid w:val="6C9D9E8F"/>
    <w:rsid w:val="6CA0041F"/>
    <w:rsid w:val="6CAD9354"/>
    <w:rsid w:val="6CB356BB"/>
    <w:rsid w:val="6CB3A49D"/>
    <w:rsid w:val="6CB42360"/>
    <w:rsid w:val="6CB7CD40"/>
    <w:rsid w:val="6CBA68B5"/>
    <w:rsid w:val="6CBE2192"/>
    <w:rsid w:val="6CBE9FD5"/>
    <w:rsid w:val="6CC627C3"/>
    <w:rsid w:val="6CCDAC19"/>
    <w:rsid w:val="6CCECC4D"/>
    <w:rsid w:val="6CDC7DA3"/>
    <w:rsid w:val="6CE5B16E"/>
    <w:rsid w:val="6CEA9FB5"/>
    <w:rsid w:val="6CEFCB50"/>
    <w:rsid w:val="6CFC1BE7"/>
    <w:rsid w:val="6CFCE55E"/>
    <w:rsid w:val="6D0A229A"/>
    <w:rsid w:val="6D160FC7"/>
    <w:rsid w:val="6D26CC2E"/>
    <w:rsid w:val="6D2C3765"/>
    <w:rsid w:val="6D2D4612"/>
    <w:rsid w:val="6D363C47"/>
    <w:rsid w:val="6D4D3946"/>
    <w:rsid w:val="6D537729"/>
    <w:rsid w:val="6D5CBE50"/>
    <w:rsid w:val="6D6A5D2C"/>
    <w:rsid w:val="6D6BB1B2"/>
    <w:rsid w:val="6D6DCCEF"/>
    <w:rsid w:val="6D715FCA"/>
    <w:rsid w:val="6D71D6F5"/>
    <w:rsid w:val="6D71E491"/>
    <w:rsid w:val="6D730F98"/>
    <w:rsid w:val="6D7B8A6F"/>
    <w:rsid w:val="6D8158F0"/>
    <w:rsid w:val="6D8D9432"/>
    <w:rsid w:val="6D8FB386"/>
    <w:rsid w:val="6D98D932"/>
    <w:rsid w:val="6D99B275"/>
    <w:rsid w:val="6DA22ADB"/>
    <w:rsid w:val="6DB5D498"/>
    <w:rsid w:val="6DBDEE13"/>
    <w:rsid w:val="6DC034E3"/>
    <w:rsid w:val="6DDBB55D"/>
    <w:rsid w:val="6DDFD443"/>
    <w:rsid w:val="6DE056E0"/>
    <w:rsid w:val="6DE1C0EF"/>
    <w:rsid w:val="6DE862B2"/>
    <w:rsid w:val="6DEC8A47"/>
    <w:rsid w:val="6DEEDDED"/>
    <w:rsid w:val="6DF64348"/>
    <w:rsid w:val="6E0C8288"/>
    <w:rsid w:val="6E1209B9"/>
    <w:rsid w:val="6E14B1DD"/>
    <w:rsid w:val="6E194444"/>
    <w:rsid w:val="6E1E1041"/>
    <w:rsid w:val="6E1F7E8F"/>
    <w:rsid w:val="6E24F58B"/>
    <w:rsid w:val="6E25272C"/>
    <w:rsid w:val="6E2BAC92"/>
    <w:rsid w:val="6E2EAD9C"/>
    <w:rsid w:val="6E2F635E"/>
    <w:rsid w:val="6E34E0FE"/>
    <w:rsid w:val="6E42145E"/>
    <w:rsid w:val="6E4DA036"/>
    <w:rsid w:val="6E501DB9"/>
    <w:rsid w:val="6E50D217"/>
    <w:rsid w:val="6E541220"/>
    <w:rsid w:val="6E56C2EB"/>
    <w:rsid w:val="6E584565"/>
    <w:rsid w:val="6E59AAA9"/>
    <w:rsid w:val="6E5A2D65"/>
    <w:rsid w:val="6E5B21F1"/>
    <w:rsid w:val="6E5E2444"/>
    <w:rsid w:val="6E63394D"/>
    <w:rsid w:val="6E63C199"/>
    <w:rsid w:val="6E650CA5"/>
    <w:rsid w:val="6E685E05"/>
    <w:rsid w:val="6E6C3898"/>
    <w:rsid w:val="6E6F0709"/>
    <w:rsid w:val="6E77E991"/>
    <w:rsid w:val="6E7A3A0C"/>
    <w:rsid w:val="6E7EE823"/>
    <w:rsid w:val="6E7FA446"/>
    <w:rsid w:val="6E80322C"/>
    <w:rsid w:val="6E82D435"/>
    <w:rsid w:val="6E8664AB"/>
    <w:rsid w:val="6E933E5E"/>
    <w:rsid w:val="6E965B9B"/>
    <w:rsid w:val="6E974B9E"/>
    <w:rsid w:val="6E9B5FDA"/>
    <w:rsid w:val="6E9D5A62"/>
    <w:rsid w:val="6EA1E8F4"/>
    <w:rsid w:val="6EA3F3E9"/>
    <w:rsid w:val="6EA58F8F"/>
    <w:rsid w:val="6EA65A3F"/>
    <w:rsid w:val="6EAE6E00"/>
    <w:rsid w:val="6EB0C955"/>
    <w:rsid w:val="6EB56191"/>
    <w:rsid w:val="6EB93E1D"/>
    <w:rsid w:val="6EBB32A1"/>
    <w:rsid w:val="6EBBE1AE"/>
    <w:rsid w:val="6EC753D6"/>
    <w:rsid w:val="6ECDFD0E"/>
    <w:rsid w:val="6EEA1240"/>
    <w:rsid w:val="6EECCD28"/>
    <w:rsid w:val="6EEFB5F4"/>
    <w:rsid w:val="6EF06417"/>
    <w:rsid w:val="6F02C838"/>
    <w:rsid w:val="6F031B35"/>
    <w:rsid w:val="6F053DF9"/>
    <w:rsid w:val="6F186F44"/>
    <w:rsid w:val="6F2770BB"/>
    <w:rsid w:val="6F279175"/>
    <w:rsid w:val="6F311E62"/>
    <w:rsid w:val="6F35C695"/>
    <w:rsid w:val="6F3C9490"/>
    <w:rsid w:val="6F53BEE2"/>
    <w:rsid w:val="6F56CD25"/>
    <w:rsid w:val="6F61E9F2"/>
    <w:rsid w:val="6F6F89FF"/>
    <w:rsid w:val="6F7A8F17"/>
    <w:rsid w:val="6F7F25F7"/>
    <w:rsid w:val="6F81704A"/>
    <w:rsid w:val="6F87E42D"/>
    <w:rsid w:val="6F8AF4A4"/>
    <w:rsid w:val="6F8B1571"/>
    <w:rsid w:val="6F8DE18D"/>
    <w:rsid w:val="6F920D40"/>
    <w:rsid w:val="6F9A0BC7"/>
    <w:rsid w:val="6F9FC65B"/>
    <w:rsid w:val="6FA4D07C"/>
    <w:rsid w:val="6FB51AD9"/>
    <w:rsid w:val="6FB8E24B"/>
    <w:rsid w:val="6FBF4E94"/>
    <w:rsid w:val="6FC4F959"/>
    <w:rsid w:val="6FD41175"/>
    <w:rsid w:val="6FD7B3D9"/>
    <w:rsid w:val="6FE7A5F6"/>
    <w:rsid w:val="6FEC35ED"/>
    <w:rsid w:val="6FEED3EE"/>
    <w:rsid w:val="6FFEA9FA"/>
    <w:rsid w:val="6FFEB768"/>
    <w:rsid w:val="70005CE1"/>
    <w:rsid w:val="700F314E"/>
    <w:rsid w:val="70113331"/>
    <w:rsid w:val="7011FB30"/>
    <w:rsid w:val="7016AD75"/>
    <w:rsid w:val="7017C773"/>
    <w:rsid w:val="701FC26F"/>
    <w:rsid w:val="7022BEDC"/>
    <w:rsid w:val="70258094"/>
    <w:rsid w:val="70260475"/>
    <w:rsid w:val="7028575E"/>
    <w:rsid w:val="703675FE"/>
    <w:rsid w:val="703D9F91"/>
    <w:rsid w:val="70426949"/>
    <w:rsid w:val="70484A83"/>
    <w:rsid w:val="705A1A89"/>
    <w:rsid w:val="705B91A6"/>
    <w:rsid w:val="70613017"/>
    <w:rsid w:val="70670E20"/>
    <w:rsid w:val="7068A3CF"/>
    <w:rsid w:val="70782C59"/>
    <w:rsid w:val="7086FC5A"/>
    <w:rsid w:val="70871A91"/>
    <w:rsid w:val="708A7E4A"/>
    <w:rsid w:val="708C4ABC"/>
    <w:rsid w:val="7090A991"/>
    <w:rsid w:val="7090AC56"/>
    <w:rsid w:val="7090C2D7"/>
    <w:rsid w:val="70924D9A"/>
    <w:rsid w:val="70959169"/>
    <w:rsid w:val="70A29486"/>
    <w:rsid w:val="70A53802"/>
    <w:rsid w:val="70B18699"/>
    <w:rsid w:val="70B746BA"/>
    <w:rsid w:val="70BD994E"/>
    <w:rsid w:val="70BDBAF9"/>
    <w:rsid w:val="70C1B819"/>
    <w:rsid w:val="70C4522B"/>
    <w:rsid w:val="70D026F4"/>
    <w:rsid w:val="70D5C692"/>
    <w:rsid w:val="70D84CA9"/>
    <w:rsid w:val="70E3A0FE"/>
    <w:rsid w:val="70E506B1"/>
    <w:rsid w:val="70E557A5"/>
    <w:rsid w:val="70F03672"/>
    <w:rsid w:val="70F0E548"/>
    <w:rsid w:val="70F5314E"/>
    <w:rsid w:val="70F6DBA7"/>
    <w:rsid w:val="70FBD38E"/>
    <w:rsid w:val="70FCD111"/>
    <w:rsid w:val="70FF2602"/>
    <w:rsid w:val="70FF9362"/>
    <w:rsid w:val="71014EE5"/>
    <w:rsid w:val="7105AF14"/>
    <w:rsid w:val="710F516F"/>
    <w:rsid w:val="7110451B"/>
    <w:rsid w:val="7110830B"/>
    <w:rsid w:val="7110B419"/>
    <w:rsid w:val="7121CD3A"/>
    <w:rsid w:val="7129C0EA"/>
    <w:rsid w:val="7140EE45"/>
    <w:rsid w:val="7142434C"/>
    <w:rsid w:val="71436402"/>
    <w:rsid w:val="7146B798"/>
    <w:rsid w:val="71520D6D"/>
    <w:rsid w:val="7155B70D"/>
    <w:rsid w:val="715940FA"/>
    <w:rsid w:val="715B03C7"/>
    <w:rsid w:val="715EE115"/>
    <w:rsid w:val="715F8EEB"/>
    <w:rsid w:val="71643A30"/>
    <w:rsid w:val="71692524"/>
    <w:rsid w:val="716A6064"/>
    <w:rsid w:val="71830DA7"/>
    <w:rsid w:val="718470B3"/>
    <w:rsid w:val="7185A9F8"/>
    <w:rsid w:val="7187DBA3"/>
    <w:rsid w:val="7188EBB1"/>
    <w:rsid w:val="7189CE8E"/>
    <w:rsid w:val="718F15D8"/>
    <w:rsid w:val="718FAD50"/>
    <w:rsid w:val="7197FE28"/>
    <w:rsid w:val="71992331"/>
    <w:rsid w:val="719E2480"/>
    <w:rsid w:val="71A3E840"/>
    <w:rsid w:val="71A667F0"/>
    <w:rsid w:val="71A9AB99"/>
    <w:rsid w:val="71C27574"/>
    <w:rsid w:val="71C5D89C"/>
    <w:rsid w:val="71C7E867"/>
    <w:rsid w:val="71CA42DD"/>
    <w:rsid w:val="71CA4FE1"/>
    <w:rsid w:val="71D3EF24"/>
    <w:rsid w:val="71D4FB24"/>
    <w:rsid w:val="71DA007D"/>
    <w:rsid w:val="71DB501D"/>
    <w:rsid w:val="71DE1C67"/>
    <w:rsid w:val="71DF3D35"/>
    <w:rsid w:val="71E4D288"/>
    <w:rsid w:val="71E62834"/>
    <w:rsid w:val="71EEE000"/>
    <w:rsid w:val="71F90A31"/>
    <w:rsid w:val="720056FF"/>
    <w:rsid w:val="7203FB99"/>
    <w:rsid w:val="721060B5"/>
    <w:rsid w:val="7210BE7F"/>
    <w:rsid w:val="72168212"/>
    <w:rsid w:val="72204D68"/>
    <w:rsid w:val="72237F2E"/>
    <w:rsid w:val="72245D9A"/>
    <w:rsid w:val="722A6E78"/>
    <w:rsid w:val="722C4D5F"/>
    <w:rsid w:val="722CD69C"/>
    <w:rsid w:val="722F9076"/>
    <w:rsid w:val="7232AA94"/>
    <w:rsid w:val="72338979"/>
    <w:rsid w:val="723D7B11"/>
    <w:rsid w:val="723D9862"/>
    <w:rsid w:val="72447D18"/>
    <w:rsid w:val="7250BF51"/>
    <w:rsid w:val="7259BA40"/>
    <w:rsid w:val="7259F28B"/>
    <w:rsid w:val="72670D62"/>
    <w:rsid w:val="72677192"/>
    <w:rsid w:val="726966F5"/>
    <w:rsid w:val="726BBE9C"/>
    <w:rsid w:val="727382A5"/>
    <w:rsid w:val="7280F1B8"/>
    <w:rsid w:val="7285BAC3"/>
    <w:rsid w:val="728AB5E3"/>
    <w:rsid w:val="729482E1"/>
    <w:rsid w:val="7298A1C3"/>
    <w:rsid w:val="729A671A"/>
    <w:rsid w:val="72A1D38B"/>
    <w:rsid w:val="72A72F90"/>
    <w:rsid w:val="72ADB878"/>
    <w:rsid w:val="72B0E71F"/>
    <w:rsid w:val="72B3D9F0"/>
    <w:rsid w:val="72B6E2B5"/>
    <w:rsid w:val="72C22947"/>
    <w:rsid w:val="72C628C3"/>
    <w:rsid w:val="72C8A0B7"/>
    <w:rsid w:val="72C8A775"/>
    <w:rsid w:val="72CD1595"/>
    <w:rsid w:val="72CE3A05"/>
    <w:rsid w:val="72CF7855"/>
    <w:rsid w:val="72DA0299"/>
    <w:rsid w:val="72E06862"/>
    <w:rsid w:val="72E25BEF"/>
    <w:rsid w:val="72E64BC4"/>
    <w:rsid w:val="72E85CBE"/>
    <w:rsid w:val="72EA3715"/>
    <w:rsid w:val="72EFBD49"/>
    <w:rsid w:val="72F1502E"/>
    <w:rsid w:val="72F86367"/>
    <w:rsid w:val="730129CE"/>
    <w:rsid w:val="73177D8E"/>
    <w:rsid w:val="731E4927"/>
    <w:rsid w:val="731E8B73"/>
    <w:rsid w:val="731ED435"/>
    <w:rsid w:val="732ADD44"/>
    <w:rsid w:val="7330B554"/>
    <w:rsid w:val="733353DF"/>
    <w:rsid w:val="733CF480"/>
    <w:rsid w:val="73434333"/>
    <w:rsid w:val="73479669"/>
    <w:rsid w:val="7354B993"/>
    <w:rsid w:val="735B40F5"/>
    <w:rsid w:val="7362C615"/>
    <w:rsid w:val="7364CE4A"/>
    <w:rsid w:val="736AFA21"/>
    <w:rsid w:val="737D7DF3"/>
    <w:rsid w:val="7380D9F8"/>
    <w:rsid w:val="7384D5E5"/>
    <w:rsid w:val="73898755"/>
    <w:rsid w:val="739D93E2"/>
    <w:rsid w:val="73A2D8B2"/>
    <w:rsid w:val="73AA9E47"/>
    <w:rsid w:val="73ABE95F"/>
    <w:rsid w:val="73AD357F"/>
    <w:rsid w:val="73BA0185"/>
    <w:rsid w:val="73C61796"/>
    <w:rsid w:val="73C9DEBE"/>
    <w:rsid w:val="73E163BB"/>
    <w:rsid w:val="73F5DC29"/>
    <w:rsid w:val="73F8AC39"/>
    <w:rsid w:val="73FE82A1"/>
    <w:rsid w:val="73FEBA39"/>
    <w:rsid w:val="73FEF69F"/>
    <w:rsid w:val="74054DFE"/>
    <w:rsid w:val="740AC9A5"/>
    <w:rsid w:val="74172E40"/>
    <w:rsid w:val="741D58B2"/>
    <w:rsid w:val="74208B7D"/>
    <w:rsid w:val="7427CBEE"/>
    <w:rsid w:val="742F2C72"/>
    <w:rsid w:val="7433B5BF"/>
    <w:rsid w:val="74348D31"/>
    <w:rsid w:val="74365E16"/>
    <w:rsid w:val="7438DE66"/>
    <w:rsid w:val="74463761"/>
    <w:rsid w:val="744DFB99"/>
    <w:rsid w:val="745194A3"/>
    <w:rsid w:val="745E2FDF"/>
    <w:rsid w:val="746E5067"/>
    <w:rsid w:val="747220F7"/>
    <w:rsid w:val="747731DA"/>
    <w:rsid w:val="747A1701"/>
    <w:rsid w:val="747BFB53"/>
    <w:rsid w:val="747D7A76"/>
    <w:rsid w:val="7484FA05"/>
    <w:rsid w:val="748A8D44"/>
    <w:rsid w:val="748D7AC1"/>
    <w:rsid w:val="749897CA"/>
    <w:rsid w:val="7499463A"/>
    <w:rsid w:val="74A721BC"/>
    <w:rsid w:val="74AC7F5A"/>
    <w:rsid w:val="74ACBFBC"/>
    <w:rsid w:val="74BB3BD8"/>
    <w:rsid w:val="74BE6645"/>
    <w:rsid w:val="74C08B8C"/>
    <w:rsid w:val="74C6A95E"/>
    <w:rsid w:val="74CCD58F"/>
    <w:rsid w:val="74D12B1A"/>
    <w:rsid w:val="74DA805B"/>
    <w:rsid w:val="74DD44BA"/>
    <w:rsid w:val="74E9322A"/>
    <w:rsid w:val="74EE0A7D"/>
    <w:rsid w:val="74F57A84"/>
    <w:rsid w:val="74F5CB9E"/>
    <w:rsid w:val="74F6D0CE"/>
    <w:rsid w:val="74F7359A"/>
    <w:rsid w:val="74F8B23A"/>
    <w:rsid w:val="750401F5"/>
    <w:rsid w:val="7507598A"/>
    <w:rsid w:val="750E9D65"/>
    <w:rsid w:val="751DA9B4"/>
    <w:rsid w:val="7523C152"/>
    <w:rsid w:val="7524684A"/>
    <w:rsid w:val="75271208"/>
    <w:rsid w:val="7529816F"/>
    <w:rsid w:val="752F7E5A"/>
    <w:rsid w:val="7550A02F"/>
    <w:rsid w:val="75511052"/>
    <w:rsid w:val="7558960C"/>
    <w:rsid w:val="7568134C"/>
    <w:rsid w:val="756C5396"/>
    <w:rsid w:val="75710008"/>
    <w:rsid w:val="7574758B"/>
    <w:rsid w:val="7576EEC2"/>
    <w:rsid w:val="757BE775"/>
    <w:rsid w:val="75809E61"/>
    <w:rsid w:val="7580D3A4"/>
    <w:rsid w:val="758290DF"/>
    <w:rsid w:val="758CB5D9"/>
    <w:rsid w:val="758E4448"/>
    <w:rsid w:val="75908537"/>
    <w:rsid w:val="75945A25"/>
    <w:rsid w:val="759A28DD"/>
    <w:rsid w:val="759BD174"/>
    <w:rsid w:val="75A06879"/>
    <w:rsid w:val="75AA542F"/>
    <w:rsid w:val="75ABAD14"/>
    <w:rsid w:val="75AC4733"/>
    <w:rsid w:val="75ADBB13"/>
    <w:rsid w:val="75B0B2CD"/>
    <w:rsid w:val="75BBC1A9"/>
    <w:rsid w:val="75BE14E6"/>
    <w:rsid w:val="75BEFF21"/>
    <w:rsid w:val="75C09D42"/>
    <w:rsid w:val="75C3276C"/>
    <w:rsid w:val="75C99C0C"/>
    <w:rsid w:val="75CB421A"/>
    <w:rsid w:val="75D4392F"/>
    <w:rsid w:val="75D44400"/>
    <w:rsid w:val="75D796E1"/>
    <w:rsid w:val="75DA6878"/>
    <w:rsid w:val="75DA881B"/>
    <w:rsid w:val="75DC3B1E"/>
    <w:rsid w:val="75DDC23B"/>
    <w:rsid w:val="75E2DB8E"/>
    <w:rsid w:val="75E32D60"/>
    <w:rsid w:val="75E3E039"/>
    <w:rsid w:val="75EB3389"/>
    <w:rsid w:val="760728E7"/>
    <w:rsid w:val="761A85F4"/>
    <w:rsid w:val="761C376B"/>
    <w:rsid w:val="762188B6"/>
    <w:rsid w:val="7624DD17"/>
    <w:rsid w:val="762A8342"/>
    <w:rsid w:val="76331F5C"/>
    <w:rsid w:val="763A77B0"/>
    <w:rsid w:val="763FEFA5"/>
    <w:rsid w:val="7646F55D"/>
    <w:rsid w:val="764C3E3F"/>
    <w:rsid w:val="764D26D0"/>
    <w:rsid w:val="765217AA"/>
    <w:rsid w:val="7658796F"/>
    <w:rsid w:val="765F643D"/>
    <w:rsid w:val="76601DBA"/>
    <w:rsid w:val="7672487A"/>
    <w:rsid w:val="76745144"/>
    <w:rsid w:val="767D2BDF"/>
    <w:rsid w:val="7684896D"/>
    <w:rsid w:val="7690FF03"/>
    <w:rsid w:val="7691DA85"/>
    <w:rsid w:val="769B5C75"/>
    <w:rsid w:val="769FA416"/>
    <w:rsid w:val="76E5685D"/>
    <w:rsid w:val="76E60310"/>
    <w:rsid w:val="76ED7A53"/>
    <w:rsid w:val="76EE798F"/>
    <w:rsid w:val="76F1228D"/>
    <w:rsid w:val="76F6514E"/>
    <w:rsid w:val="76F67DA8"/>
    <w:rsid w:val="76F7383E"/>
    <w:rsid w:val="76FE54AE"/>
    <w:rsid w:val="76FF081B"/>
    <w:rsid w:val="77024283"/>
    <w:rsid w:val="77089313"/>
    <w:rsid w:val="770D62B1"/>
    <w:rsid w:val="770F3B61"/>
    <w:rsid w:val="77156D37"/>
    <w:rsid w:val="771AB766"/>
    <w:rsid w:val="7725D77E"/>
    <w:rsid w:val="772B1E9E"/>
    <w:rsid w:val="7730DAF6"/>
    <w:rsid w:val="77332523"/>
    <w:rsid w:val="773549E4"/>
    <w:rsid w:val="773CDD45"/>
    <w:rsid w:val="773FD6DC"/>
    <w:rsid w:val="774A5B40"/>
    <w:rsid w:val="7758E433"/>
    <w:rsid w:val="776228AD"/>
    <w:rsid w:val="7763702E"/>
    <w:rsid w:val="77655299"/>
    <w:rsid w:val="7767E9A3"/>
    <w:rsid w:val="776D3E47"/>
    <w:rsid w:val="777A64A4"/>
    <w:rsid w:val="777D0650"/>
    <w:rsid w:val="778455B9"/>
    <w:rsid w:val="7784827B"/>
    <w:rsid w:val="77886250"/>
    <w:rsid w:val="778B092E"/>
    <w:rsid w:val="778C0236"/>
    <w:rsid w:val="778CDF78"/>
    <w:rsid w:val="778D8D5D"/>
    <w:rsid w:val="77940604"/>
    <w:rsid w:val="77A3054E"/>
    <w:rsid w:val="77A51318"/>
    <w:rsid w:val="77A75557"/>
    <w:rsid w:val="77B445FD"/>
    <w:rsid w:val="77B7722A"/>
    <w:rsid w:val="77B8F940"/>
    <w:rsid w:val="77CB6172"/>
    <w:rsid w:val="77CE8E31"/>
    <w:rsid w:val="77CF914F"/>
    <w:rsid w:val="77D07659"/>
    <w:rsid w:val="77D0E6FC"/>
    <w:rsid w:val="77DB1376"/>
    <w:rsid w:val="77DD48B3"/>
    <w:rsid w:val="77E0379F"/>
    <w:rsid w:val="77E16F91"/>
    <w:rsid w:val="77F01272"/>
    <w:rsid w:val="77F80AC9"/>
    <w:rsid w:val="77FFB74A"/>
    <w:rsid w:val="780BED6C"/>
    <w:rsid w:val="7810367D"/>
    <w:rsid w:val="7818FC40"/>
    <w:rsid w:val="781991C7"/>
    <w:rsid w:val="781CAA74"/>
    <w:rsid w:val="7821195E"/>
    <w:rsid w:val="7826A877"/>
    <w:rsid w:val="783675F8"/>
    <w:rsid w:val="7836C504"/>
    <w:rsid w:val="78391F37"/>
    <w:rsid w:val="7861556A"/>
    <w:rsid w:val="7865519B"/>
    <w:rsid w:val="786F987D"/>
    <w:rsid w:val="787EA3DB"/>
    <w:rsid w:val="788D2956"/>
    <w:rsid w:val="7890F544"/>
    <w:rsid w:val="78917FF9"/>
    <w:rsid w:val="78945B17"/>
    <w:rsid w:val="7894C003"/>
    <w:rsid w:val="7898B359"/>
    <w:rsid w:val="78996BB7"/>
    <w:rsid w:val="789A67EF"/>
    <w:rsid w:val="78A1D302"/>
    <w:rsid w:val="78A49E62"/>
    <w:rsid w:val="78A6A43D"/>
    <w:rsid w:val="78AD24A3"/>
    <w:rsid w:val="78BDAD93"/>
    <w:rsid w:val="78C16696"/>
    <w:rsid w:val="78C26083"/>
    <w:rsid w:val="78C43D97"/>
    <w:rsid w:val="78D2B0AE"/>
    <w:rsid w:val="78D6C1DC"/>
    <w:rsid w:val="78DC0BE4"/>
    <w:rsid w:val="78E3098C"/>
    <w:rsid w:val="78E97C07"/>
    <w:rsid w:val="78EBEDFE"/>
    <w:rsid w:val="78EBF7DF"/>
    <w:rsid w:val="78EF79C1"/>
    <w:rsid w:val="78F14331"/>
    <w:rsid w:val="78F44DF5"/>
    <w:rsid w:val="78F7CE53"/>
    <w:rsid w:val="78F82FB9"/>
    <w:rsid w:val="79004419"/>
    <w:rsid w:val="79028B8A"/>
    <w:rsid w:val="7906EB93"/>
    <w:rsid w:val="790AE5EC"/>
    <w:rsid w:val="7918B633"/>
    <w:rsid w:val="791AD41E"/>
    <w:rsid w:val="791BAF03"/>
    <w:rsid w:val="791FE11F"/>
    <w:rsid w:val="792062EE"/>
    <w:rsid w:val="792AAF0A"/>
    <w:rsid w:val="792E79DB"/>
    <w:rsid w:val="792FDAEB"/>
    <w:rsid w:val="7932A8AF"/>
    <w:rsid w:val="79416D5D"/>
    <w:rsid w:val="7941DAAC"/>
    <w:rsid w:val="7942CAAB"/>
    <w:rsid w:val="79500B1B"/>
    <w:rsid w:val="7957D74E"/>
    <w:rsid w:val="79623B5B"/>
    <w:rsid w:val="79635536"/>
    <w:rsid w:val="796A97C5"/>
    <w:rsid w:val="796EE26C"/>
    <w:rsid w:val="79757E69"/>
    <w:rsid w:val="798293AC"/>
    <w:rsid w:val="7982E24F"/>
    <w:rsid w:val="798769AF"/>
    <w:rsid w:val="798A9AF6"/>
    <w:rsid w:val="798D8E40"/>
    <w:rsid w:val="7990B72A"/>
    <w:rsid w:val="799F2A7C"/>
    <w:rsid w:val="79A929C3"/>
    <w:rsid w:val="79ABD76C"/>
    <w:rsid w:val="79AD3595"/>
    <w:rsid w:val="79AEECBC"/>
    <w:rsid w:val="79B3491E"/>
    <w:rsid w:val="79B433E6"/>
    <w:rsid w:val="79BEC080"/>
    <w:rsid w:val="79BEE392"/>
    <w:rsid w:val="79C88C26"/>
    <w:rsid w:val="79C8D0AC"/>
    <w:rsid w:val="79C98079"/>
    <w:rsid w:val="79D66679"/>
    <w:rsid w:val="79D7BF6F"/>
    <w:rsid w:val="79D8AC1D"/>
    <w:rsid w:val="79DA3634"/>
    <w:rsid w:val="79E0AA38"/>
    <w:rsid w:val="79F4C982"/>
    <w:rsid w:val="79FA6788"/>
    <w:rsid w:val="79FDF8F5"/>
    <w:rsid w:val="7A009683"/>
    <w:rsid w:val="7A012187"/>
    <w:rsid w:val="7A0406C1"/>
    <w:rsid w:val="7A0E2A18"/>
    <w:rsid w:val="7A18AC01"/>
    <w:rsid w:val="7A1A66A9"/>
    <w:rsid w:val="7A1B73C4"/>
    <w:rsid w:val="7A1F819B"/>
    <w:rsid w:val="7A22CE27"/>
    <w:rsid w:val="7A2AB441"/>
    <w:rsid w:val="7A32204F"/>
    <w:rsid w:val="7A49539F"/>
    <w:rsid w:val="7A4B9690"/>
    <w:rsid w:val="7A519D3A"/>
    <w:rsid w:val="7A5EE633"/>
    <w:rsid w:val="7A6C5FAD"/>
    <w:rsid w:val="7A70A1C1"/>
    <w:rsid w:val="7A73B207"/>
    <w:rsid w:val="7A95C5D5"/>
    <w:rsid w:val="7A9F8761"/>
    <w:rsid w:val="7AAAFB0C"/>
    <w:rsid w:val="7AAB4E08"/>
    <w:rsid w:val="7AACF013"/>
    <w:rsid w:val="7AB4E335"/>
    <w:rsid w:val="7AB8BCC7"/>
    <w:rsid w:val="7ABF4F0E"/>
    <w:rsid w:val="7AC70AF1"/>
    <w:rsid w:val="7AC93B2D"/>
    <w:rsid w:val="7ADFF9A0"/>
    <w:rsid w:val="7AEEA34F"/>
    <w:rsid w:val="7AEFE39A"/>
    <w:rsid w:val="7AF4153E"/>
    <w:rsid w:val="7AFD5FAC"/>
    <w:rsid w:val="7B0842EC"/>
    <w:rsid w:val="7B0AB2CD"/>
    <w:rsid w:val="7B15B791"/>
    <w:rsid w:val="7B17B295"/>
    <w:rsid w:val="7B1EACA2"/>
    <w:rsid w:val="7B28D75F"/>
    <w:rsid w:val="7B295BEF"/>
    <w:rsid w:val="7B2C3721"/>
    <w:rsid w:val="7B30FC9C"/>
    <w:rsid w:val="7B311088"/>
    <w:rsid w:val="7B35070E"/>
    <w:rsid w:val="7B364BA0"/>
    <w:rsid w:val="7B3BB991"/>
    <w:rsid w:val="7B443226"/>
    <w:rsid w:val="7B46F74A"/>
    <w:rsid w:val="7B4EB099"/>
    <w:rsid w:val="7B520C14"/>
    <w:rsid w:val="7B573C18"/>
    <w:rsid w:val="7B5FA774"/>
    <w:rsid w:val="7B5FC685"/>
    <w:rsid w:val="7B659A9B"/>
    <w:rsid w:val="7B7F5B09"/>
    <w:rsid w:val="7B820666"/>
    <w:rsid w:val="7B8341AC"/>
    <w:rsid w:val="7B875FB7"/>
    <w:rsid w:val="7B90087A"/>
    <w:rsid w:val="7B90AC0F"/>
    <w:rsid w:val="7B94A0E1"/>
    <w:rsid w:val="7B9DF083"/>
    <w:rsid w:val="7BA966D1"/>
    <w:rsid w:val="7BB31AD0"/>
    <w:rsid w:val="7BB7EEF3"/>
    <w:rsid w:val="7BBBD07A"/>
    <w:rsid w:val="7BC61B01"/>
    <w:rsid w:val="7BD0E0A9"/>
    <w:rsid w:val="7BDB5A14"/>
    <w:rsid w:val="7BE389D1"/>
    <w:rsid w:val="7BE638DB"/>
    <w:rsid w:val="7BE74537"/>
    <w:rsid w:val="7BEC76E0"/>
    <w:rsid w:val="7BFAD3A9"/>
    <w:rsid w:val="7BFC0F63"/>
    <w:rsid w:val="7BFF4410"/>
    <w:rsid w:val="7C098DDD"/>
    <w:rsid w:val="7C18A0FF"/>
    <w:rsid w:val="7C23405C"/>
    <w:rsid w:val="7C23B2D5"/>
    <w:rsid w:val="7C24E8A7"/>
    <w:rsid w:val="7C26EC2E"/>
    <w:rsid w:val="7C2F8D4C"/>
    <w:rsid w:val="7C339256"/>
    <w:rsid w:val="7C339C8D"/>
    <w:rsid w:val="7C360E3E"/>
    <w:rsid w:val="7C3BC319"/>
    <w:rsid w:val="7C40130F"/>
    <w:rsid w:val="7C444F7B"/>
    <w:rsid w:val="7C49730D"/>
    <w:rsid w:val="7C623199"/>
    <w:rsid w:val="7C6E81CA"/>
    <w:rsid w:val="7C7ABA22"/>
    <w:rsid w:val="7C7E1E75"/>
    <w:rsid w:val="7C840E8F"/>
    <w:rsid w:val="7C85C5BB"/>
    <w:rsid w:val="7C8A803D"/>
    <w:rsid w:val="7C8CB7F9"/>
    <w:rsid w:val="7C95FCE7"/>
    <w:rsid w:val="7C9E6B27"/>
    <w:rsid w:val="7CA981AA"/>
    <w:rsid w:val="7CB3C67E"/>
    <w:rsid w:val="7CBDB6C8"/>
    <w:rsid w:val="7CCB708D"/>
    <w:rsid w:val="7CDA4E1D"/>
    <w:rsid w:val="7CDE362C"/>
    <w:rsid w:val="7CE46FE1"/>
    <w:rsid w:val="7CE4DD79"/>
    <w:rsid w:val="7CEE291D"/>
    <w:rsid w:val="7CF49512"/>
    <w:rsid w:val="7D02502E"/>
    <w:rsid w:val="7D09FF7C"/>
    <w:rsid w:val="7D0DD47A"/>
    <w:rsid w:val="7D233F80"/>
    <w:rsid w:val="7D258CC4"/>
    <w:rsid w:val="7D453732"/>
    <w:rsid w:val="7D4BC71C"/>
    <w:rsid w:val="7D4EBC47"/>
    <w:rsid w:val="7D53DBC9"/>
    <w:rsid w:val="7D5A8620"/>
    <w:rsid w:val="7D6164A7"/>
    <w:rsid w:val="7D64002A"/>
    <w:rsid w:val="7D6B6302"/>
    <w:rsid w:val="7D6F2053"/>
    <w:rsid w:val="7D79208A"/>
    <w:rsid w:val="7D7C7CD7"/>
    <w:rsid w:val="7D7E6576"/>
    <w:rsid w:val="7D881C67"/>
    <w:rsid w:val="7D8CE97D"/>
    <w:rsid w:val="7D8F0EFA"/>
    <w:rsid w:val="7D98244D"/>
    <w:rsid w:val="7D9DDFD6"/>
    <w:rsid w:val="7D9F559C"/>
    <w:rsid w:val="7DA219D2"/>
    <w:rsid w:val="7DA22B0C"/>
    <w:rsid w:val="7DA7D75A"/>
    <w:rsid w:val="7DB2EAF8"/>
    <w:rsid w:val="7DC2537F"/>
    <w:rsid w:val="7DCF6D0B"/>
    <w:rsid w:val="7DDCBEE9"/>
    <w:rsid w:val="7DDF0F81"/>
    <w:rsid w:val="7DE43677"/>
    <w:rsid w:val="7DEC6D52"/>
    <w:rsid w:val="7DEF80F3"/>
    <w:rsid w:val="7DF30D0C"/>
    <w:rsid w:val="7E03C8BD"/>
    <w:rsid w:val="7E0675E5"/>
    <w:rsid w:val="7E0C565F"/>
    <w:rsid w:val="7E0DF08B"/>
    <w:rsid w:val="7E14FA0A"/>
    <w:rsid w:val="7E172C64"/>
    <w:rsid w:val="7E237433"/>
    <w:rsid w:val="7E285A0A"/>
    <w:rsid w:val="7E352AFA"/>
    <w:rsid w:val="7E36CF08"/>
    <w:rsid w:val="7E3B7AF7"/>
    <w:rsid w:val="7E49120F"/>
    <w:rsid w:val="7E4D4FF0"/>
    <w:rsid w:val="7E4E1E7D"/>
    <w:rsid w:val="7E587AC0"/>
    <w:rsid w:val="7E5C1F4E"/>
    <w:rsid w:val="7E5FDE71"/>
    <w:rsid w:val="7E6014A6"/>
    <w:rsid w:val="7E705991"/>
    <w:rsid w:val="7E7702C6"/>
    <w:rsid w:val="7E775B3E"/>
    <w:rsid w:val="7E7DC306"/>
    <w:rsid w:val="7E826B24"/>
    <w:rsid w:val="7E8BE264"/>
    <w:rsid w:val="7E906573"/>
    <w:rsid w:val="7E93A793"/>
    <w:rsid w:val="7E9BD4E6"/>
    <w:rsid w:val="7E9D9F33"/>
    <w:rsid w:val="7EA5E210"/>
    <w:rsid w:val="7EA8F3EC"/>
    <w:rsid w:val="7EB9129F"/>
    <w:rsid w:val="7ECC3B89"/>
    <w:rsid w:val="7ED789DE"/>
    <w:rsid w:val="7EDB639C"/>
    <w:rsid w:val="7EDBA146"/>
    <w:rsid w:val="7EDED26E"/>
    <w:rsid w:val="7EE6B8B7"/>
    <w:rsid w:val="7EE74961"/>
    <w:rsid w:val="7EE843B7"/>
    <w:rsid w:val="7EEC62F9"/>
    <w:rsid w:val="7EEE39B8"/>
    <w:rsid w:val="7EF43DE8"/>
    <w:rsid w:val="7EFFE2A7"/>
    <w:rsid w:val="7F004C5C"/>
    <w:rsid w:val="7F0336D6"/>
    <w:rsid w:val="7F117440"/>
    <w:rsid w:val="7F1C1BE4"/>
    <w:rsid w:val="7F313628"/>
    <w:rsid w:val="7F3608B9"/>
    <w:rsid w:val="7F4BE37F"/>
    <w:rsid w:val="7F4DEF86"/>
    <w:rsid w:val="7F5658BC"/>
    <w:rsid w:val="7F5D8B48"/>
    <w:rsid w:val="7F63C0AD"/>
    <w:rsid w:val="7F6A3305"/>
    <w:rsid w:val="7F6C4763"/>
    <w:rsid w:val="7F702440"/>
    <w:rsid w:val="7F780637"/>
    <w:rsid w:val="7F851EF9"/>
    <w:rsid w:val="7F8B16BC"/>
    <w:rsid w:val="7F8DD2A7"/>
    <w:rsid w:val="7F9609C3"/>
    <w:rsid w:val="7F99C5BE"/>
    <w:rsid w:val="7FA52EF3"/>
    <w:rsid w:val="7FA5BDA4"/>
    <w:rsid w:val="7FA79615"/>
    <w:rsid w:val="7FA953CD"/>
    <w:rsid w:val="7FB28B75"/>
    <w:rsid w:val="7FB2ADDA"/>
    <w:rsid w:val="7FB8E665"/>
    <w:rsid w:val="7FB9C018"/>
    <w:rsid w:val="7FBE180F"/>
    <w:rsid w:val="7FC34362"/>
    <w:rsid w:val="7FCA82FC"/>
    <w:rsid w:val="7FD196F9"/>
    <w:rsid w:val="7FD331C8"/>
    <w:rsid w:val="7FDA30D3"/>
    <w:rsid w:val="7FEAD082"/>
    <w:rsid w:val="7FEFE380"/>
    <w:rsid w:val="7FF025ED"/>
    <w:rsid w:val="7FFC8B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A876A"/>
  <w15:chartTrackingRefBased/>
  <w15:docId w15:val="{5410D42B-0D39-4BEA-8AE8-496C1668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60"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4302"/>
  </w:style>
  <w:style w:type="paragraph" w:styleId="Heading1">
    <w:name w:val="heading 1"/>
    <w:basedOn w:val="Normal"/>
    <w:next w:val="Normal"/>
    <w:link w:val="Heading1Char"/>
    <w:uiPriority w:val="9"/>
    <w:qFormat/>
    <w:rsid w:val="00466825"/>
    <w:pPr>
      <w:keepNext/>
      <w:keepLines/>
      <w:spacing w:before="240" w:after="0" w:line="240" w:lineRule="auto"/>
      <w:outlineLvl w:val="0"/>
    </w:pPr>
    <w:rPr>
      <w:rFonts w:asciiTheme="majorHAnsi" w:eastAsiaTheme="majorEastAsia" w:hAnsiTheme="majorHAnsi" w:cstheme="majorBidi"/>
      <w:color w:val="5294AE" w:themeColor="accent1" w:themeShade="BF"/>
      <w:sz w:val="32"/>
      <w:szCs w:val="32"/>
      <w:lang w:eastAsia="en-GB"/>
    </w:rPr>
  </w:style>
  <w:style w:type="paragraph" w:styleId="Heading2">
    <w:name w:val="heading 2"/>
    <w:basedOn w:val="Normal"/>
    <w:next w:val="Normal"/>
    <w:link w:val="Heading2Char"/>
    <w:uiPriority w:val="9"/>
    <w:unhideWhenUsed/>
    <w:qFormat/>
    <w:rsid w:val="00466825"/>
    <w:pPr>
      <w:keepNext/>
      <w:keepLines/>
      <w:spacing w:before="120" w:after="240" w:line="240" w:lineRule="auto"/>
      <w:outlineLvl w:val="1"/>
    </w:pPr>
    <w:rPr>
      <w:rFonts w:ascii="Arial" w:eastAsia="Calibri" w:hAnsi="Arial" w:cstheme="majorBidi"/>
      <w:b/>
      <w:color w:val="00908E"/>
      <w:sz w:val="24"/>
      <w:szCs w:val="26"/>
    </w:rPr>
  </w:style>
  <w:style w:type="paragraph" w:styleId="Heading3">
    <w:name w:val="heading 3"/>
    <w:basedOn w:val="Normal"/>
    <w:next w:val="Normal"/>
    <w:link w:val="Heading3Char"/>
    <w:uiPriority w:val="9"/>
    <w:unhideWhenUsed/>
    <w:qFormat/>
    <w:rsid w:val="00466825"/>
    <w:pPr>
      <w:keepNext/>
      <w:keepLines/>
      <w:spacing w:before="0" w:after="120" w:line="240" w:lineRule="auto"/>
      <w:outlineLvl w:val="2"/>
    </w:pPr>
    <w:rPr>
      <w:rFonts w:ascii="Arial" w:eastAsiaTheme="majorEastAsia" w:hAnsi="Arial" w:cstheme="majorBidi"/>
      <w:b/>
      <w:color w:val="00908E"/>
      <w:szCs w:val="24"/>
      <w:lang w:eastAsia="en-GB"/>
    </w:rPr>
  </w:style>
  <w:style w:type="paragraph" w:styleId="Heading5">
    <w:name w:val="heading 5"/>
    <w:basedOn w:val="Normal"/>
    <w:next w:val="Heading6"/>
    <w:link w:val="Heading5Char"/>
    <w:uiPriority w:val="9"/>
    <w:unhideWhenUsed/>
    <w:qFormat/>
    <w:rsid w:val="00466825"/>
    <w:pPr>
      <w:framePr w:wrap="around" w:vAnchor="text" w:hAnchor="text" w:y="1"/>
      <w:pBdr>
        <w:top w:val="single" w:sz="36" w:space="5" w:color="008E90"/>
      </w:pBdr>
      <w:spacing w:before="0" w:after="120" w:line="336" w:lineRule="atLeast"/>
      <w:outlineLvl w:val="4"/>
    </w:pPr>
    <w:rPr>
      <w:rFonts w:ascii="Futura Std Book" w:eastAsia="Calibri" w:hAnsi="Futura Std Book" w:cs="Times New Roman"/>
      <w:sz w:val="28"/>
      <w:szCs w:val="28"/>
    </w:rPr>
  </w:style>
  <w:style w:type="paragraph" w:styleId="Heading6">
    <w:name w:val="heading 6"/>
    <w:basedOn w:val="Normal"/>
    <w:link w:val="Heading6Char"/>
    <w:uiPriority w:val="9"/>
    <w:unhideWhenUsed/>
    <w:qFormat/>
    <w:rsid w:val="00466825"/>
    <w:pPr>
      <w:spacing w:before="0" w:after="120" w:line="288" w:lineRule="atLeast"/>
      <w:outlineLvl w:val="5"/>
    </w:pPr>
    <w:rPr>
      <w:rFonts w:eastAsia="Times New Roman" w:cstheme="minorHAnsi"/>
      <w:szCs w:val="24"/>
      <w:lang w:eastAsia="en-GB"/>
    </w:rPr>
  </w:style>
  <w:style w:type="paragraph" w:styleId="Heading8">
    <w:name w:val="heading 8"/>
    <w:basedOn w:val="Normal"/>
    <w:next w:val="Normal"/>
    <w:link w:val="Heading8Char"/>
    <w:uiPriority w:val="9"/>
    <w:semiHidden/>
    <w:unhideWhenUsed/>
    <w:qFormat/>
    <w:rsid w:val="00466825"/>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581"/>
  </w:style>
  <w:style w:type="paragraph" w:styleId="Footer">
    <w:name w:val="footer"/>
    <w:basedOn w:val="Normal"/>
    <w:link w:val="FooterChar"/>
    <w:uiPriority w:val="99"/>
    <w:unhideWhenUsed/>
    <w:rsid w:val="000C5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581"/>
  </w:style>
  <w:style w:type="paragraph" w:customStyle="1" w:styleId="TitleHTA">
    <w:name w:val="Title HTA"/>
    <w:basedOn w:val="Normal"/>
    <w:link w:val="TitleHTAChar"/>
    <w:qFormat/>
    <w:rsid w:val="00124302"/>
    <w:pPr>
      <w:spacing w:before="0" w:after="240"/>
    </w:pPr>
    <w:rPr>
      <w:rFonts w:ascii="Arial" w:eastAsia="Batang" w:hAnsi="Arial" w:cs="Arial"/>
      <w:b/>
      <w:bCs/>
      <w:color w:val="4E1965" w:themeColor="text2"/>
      <w:sz w:val="40"/>
      <w:szCs w:val="40"/>
    </w:rPr>
  </w:style>
  <w:style w:type="paragraph" w:customStyle="1" w:styleId="SubheadingHTA">
    <w:name w:val="Subheading HTA"/>
    <w:basedOn w:val="TitleHTA"/>
    <w:link w:val="SubheadingHTAChar"/>
    <w:qFormat/>
    <w:rsid w:val="00124302"/>
    <w:pPr>
      <w:spacing w:before="160"/>
    </w:pPr>
    <w:rPr>
      <w:color w:val="000000" w:themeColor="text1"/>
      <w:sz w:val="32"/>
      <w:szCs w:val="32"/>
    </w:rPr>
  </w:style>
  <w:style w:type="character" w:customStyle="1" w:styleId="TitleHTAChar">
    <w:name w:val="Title HTA Char"/>
    <w:basedOn w:val="DefaultParagraphFont"/>
    <w:link w:val="TitleHTA"/>
    <w:rsid w:val="00124302"/>
    <w:rPr>
      <w:rFonts w:ascii="Arial" w:eastAsia="Batang" w:hAnsi="Arial" w:cs="Arial"/>
      <w:b/>
      <w:bCs/>
      <w:color w:val="4E1965" w:themeColor="text2"/>
      <w:sz w:val="40"/>
      <w:szCs w:val="40"/>
    </w:rPr>
  </w:style>
  <w:style w:type="paragraph" w:customStyle="1" w:styleId="BodytextHTA">
    <w:name w:val="Body text HTA"/>
    <w:basedOn w:val="SubheadingHTA"/>
    <w:link w:val="BodytextHTAChar"/>
    <w:qFormat/>
    <w:rsid w:val="00124302"/>
    <w:pPr>
      <w:spacing w:before="0"/>
    </w:pPr>
    <w:rPr>
      <w:b w:val="0"/>
      <w:bCs w:val="0"/>
      <w:sz w:val="24"/>
      <w:szCs w:val="24"/>
    </w:rPr>
  </w:style>
  <w:style w:type="character" w:customStyle="1" w:styleId="SubheadingHTAChar">
    <w:name w:val="Subheading HTA Char"/>
    <w:basedOn w:val="TitleHTAChar"/>
    <w:link w:val="SubheadingHTA"/>
    <w:rsid w:val="00124302"/>
    <w:rPr>
      <w:rFonts w:ascii="Arial" w:eastAsia="Batang" w:hAnsi="Arial" w:cs="Arial"/>
      <w:b/>
      <w:bCs/>
      <w:color w:val="000000" w:themeColor="text1"/>
      <w:sz w:val="32"/>
      <w:szCs w:val="32"/>
    </w:rPr>
  </w:style>
  <w:style w:type="paragraph" w:customStyle="1" w:styleId="Heading1HTA">
    <w:name w:val="Heading 1 HTA"/>
    <w:basedOn w:val="BodytextHTA"/>
    <w:link w:val="Heading1HTAChar"/>
    <w:qFormat/>
    <w:rsid w:val="00124302"/>
    <w:pPr>
      <w:spacing w:before="160"/>
    </w:pPr>
    <w:rPr>
      <w:b/>
      <w:bCs/>
      <w:sz w:val="40"/>
      <w:szCs w:val="40"/>
    </w:rPr>
  </w:style>
  <w:style w:type="character" w:customStyle="1" w:styleId="BodytextHTAChar">
    <w:name w:val="Body text HTA Char"/>
    <w:basedOn w:val="SubheadingHTAChar"/>
    <w:link w:val="BodytextHTA"/>
    <w:rsid w:val="00124302"/>
    <w:rPr>
      <w:rFonts w:ascii="Arial" w:eastAsia="Batang" w:hAnsi="Arial" w:cs="Arial"/>
      <w:b w:val="0"/>
      <w:bCs w:val="0"/>
      <w:color w:val="000000" w:themeColor="text1"/>
      <w:sz w:val="24"/>
      <w:szCs w:val="24"/>
    </w:rPr>
  </w:style>
  <w:style w:type="paragraph" w:customStyle="1" w:styleId="Heading2HTA">
    <w:name w:val="Heading 2 HTA"/>
    <w:basedOn w:val="BodytextHTA"/>
    <w:link w:val="Heading2HTAChar"/>
    <w:qFormat/>
    <w:rsid w:val="00124302"/>
    <w:pPr>
      <w:spacing w:before="160"/>
    </w:pPr>
    <w:rPr>
      <w:b/>
      <w:bCs/>
      <w:sz w:val="32"/>
      <w:szCs w:val="32"/>
    </w:rPr>
  </w:style>
  <w:style w:type="character" w:customStyle="1" w:styleId="Heading1HTAChar">
    <w:name w:val="Heading 1 HTA Char"/>
    <w:basedOn w:val="BodytextHTAChar"/>
    <w:link w:val="Heading1HTA"/>
    <w:rsid w:val="00124302"/>
    <w:rPr>
      <w:rFonts w:ascii="Arial" w:eastAsia="Batang" w:hAnsi="Arial" w:cs="Arial"/>
      <w:b/>
      <w:bCs/>
      <w:color w:val="000000" w:themeColor="text1"/>
      <w:sz w:val="40"/>
      <w:szCs w:val="40"/>
    </w:rPr>
  </w:style>
  <w:style w:type="paragraph" w:customStyle="1" w:styleId="Heading3HTA">
    <w:name w:val="Heading 3 HTA"/>
    <w:basedOn w:val="Heading2HTA"/>
    <w:link w:val="Heading3HTAChar"/>
    <w:qFormat/>
    <w:rsid w:val="00124302"/>
    <w:rPr>
      <w:i/>
      <w:iCs/>
      <w:sz w:val="24"/>
      <w:szCs w:val="24"/>
    </w:rPr>
  </w:style>
  <w:style w:type="character" w:customStyle="1" w:styleId="Heading2HTAChar">
    <w:name w:val="Heading 2 HTA Char"/>
    <w:basedOn w:val="BodytextHTAChar"/>
    <w:link w:val="Heading2HTA"/>
    <w:rsid w:val="00124302"/>
    <w:rPr>
      <w:rFonts w:ascii="Arial" w:eastAsia="Batang" w:hAnsi="Arial" w:cs="Arial"/>
      <w:b/>
      <w:bCs/>
      <w:color w:val="000000" w:themeColor="text1"/>
      <w:sz w:val="32"/>
      <w:szCs w:val="32"/>
    </w:rPr>
  </w:style>
  <w:style w:type="paragraph" w:customStyle="1" w:styleId="Heading4HTA">
    <w:name w:val="Heading 4 HTA"/>
    <w:basedOn w:val="Heading3HTA"/>
    <w:link w:val="Heading4HTAChar"/>
    <w:qFormat/>
    <w:rsid w:val="00124302"/>
    <w:rPr>
      <w:b w:val="0"/>
      <w:bCs w:val="0"/>
    </w:rPr>
  </w:style>
  <w:style w:type="character" w:customStyle="1" w:styleId="Heading3HTAChar">
    <w:name w:val="Heading 3 HTA Char"/>
    <w:basedOn w:val="Heading2HTAChar"/>
    <w:link w:val="Heading3HTA"/>
    <w:rsid w:val="00124302"/>
    <w:rPr>
      <w:rFonts w:ascii="Arial" w:eastAsia="Batang" w:hAnsi="Arial" w:cs="Arial"/>
      <w:b/>
      <w:bCs/>
      <w:i/>
      <w:iCs/>
      <w:color w:val="000000" w:themeColor="text1"/>
      <w:sz w:val="24"/>
      <w:szCs w:val="24"/>
    </w:rPr>
  </w:style>
  <w:style w:type="paragraph" w:customStyle="1" w:styleId="Heading5HTA">
    <w:name w:val="Heading 5 HTA"/>
    <w:basedOn w:val="Heading4HTA"/>
    <w:link w:val="Heading5HTAChar"/>
    <w:qFormat/>
    <w:rsid w:val="00124302"/>
    <w:rPr>
      <w:i w:val="0"/>
      <w:iCs w:val="0"/>
      <w:color w:val="4E1965" w:themeColor="text2"/>
    </w:rPr>
  </w:style>
  <w:style w:type="character" w:customStyle="1" w:styleId="Heading4HTAChar">
    <w:name w:val="Heading 4 HTA Char"/>
    <w:basedOn w:val="Heading3HTAChar"/>
    <w:link w:val="Heading4HTA"/>
    <w:rsid w:val="00124302"/>
    <w:rPr>
      <w:rFonts w:ascii="Arial" w:eastAsia="Batang" w:hAnsi="Arial" w:cs="Arial"/>
      <w:b w:val="0"/>
      <w:bCs w:val="0"/>
      <w:i/>
      <w:iCs/>
      <w:color w:val="000000" w:themeColor="text1"/>
      <w:sz w:val="24"/>
      <w:szCs w:val="24"/>
    </w:rPr>
  </w:style>
  <w:style w:type="character" w:styleId="Emphasis">
    <w:name w:val="Emphasis"/>
    <w:basedOn w:val="DefaultParagraphFont"/>
    <w:uiPriority w:val="20"/>
    <w:rsid w:val="00E819ED"/>
    <w:rPr>
      <w:i/>
      <w:iCs/>
    </w:rPr>
  </w:style>
  <w:style w:type="character" w:customStyle="1" w:styleId="Heading5HTAChar">
    <w:name w:val="Heading 5 HTA Char"/>
    <w:basedOn w:val="Heading4HTAChar"/>
    <w:link w:val="Heading5HTA"/>
    <w:rsid w:val="00124302"/>
    <w:rPr>
      <w:rFonts w:ascii="Arial" w:eastAsia="Batang" w:hAnsi="Arial" w:cs="Arial"/>
      <w:b w:val="0"/>
      <w:bCs w:val="0"/>
      <w:i w:val="0"/>
      <w:iCs w:val="0"/>
      <w:color w:val="4E1965" w:themeColor="text2"/>
      <w:sz w:val="24"/>
      <w:szCs w:val="24"/>
    </w:rPr>
  </w:style>
  <w:style w:type="paragraph" w:styleId="NoSpacing">
    <w:name w:val="No Spacing"/>
    <w:uiPriority w:val="1"/>
    <w:rsid w:val="00E819ED"/>
    <w:pPr>
      <w:spacing w:after="0" w:line="240" w:lineRule="auto"/>
    </w:pPr>
  </w:style>
  <w:style w:type="paragraph" w:styleId="Title">
    <w:name w:val="Title"/>
    <w:basedOn w:val="Normal"/>
    <w:next w:val="Normal"/>
    <w:link w:val="TitleChar"/>
    <w:uiPriority w:val="10"/>
    <w:rsid w:val="00E819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9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E819E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819ED"/>
    <w:rPr>
      <w:rFonts w:eastAsiaTheme="minorEastAsia"/>
      <w:color w:val="5A5A5A" w:themeColor="text1" w:themeTint="A5"/>
      <w:spacing w:val="15"/>
    </w:rPr>
  </w:style>
  <w:style w:type="paragraph" w:styleId="Quote">
    <w:name w:val="Quote"/>
    <w:basedOn w:val="Normal"/>
    <w:next w:val="Normal"/>
    <w:link w:val="QuoteChar"/>
    <w:uiPriority w:val="29"/>
    <w:qFormat/>
    <w:rsid w:val="00E819E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819ED"/>
    <w:rPr>
      <w:i/>
      <w:iCs/>
      <w:color w:val="404040" w:themeColor="text1" w:themeTint="BF"/>
    </w:rPr>
  </w:style>
  <w:style w:type="paragraph" w:customStyle="1" w:styleId="BodyboldHTA">
    <w:name w:val="Body bold HTA"/>
    <w:basedOn w:val="Heading1HTA"/>
    <w:link w:val="BodyboldHTAChar"/>
    <w:qFormat/>
    <w:rsid w:val="00124302"/>
    <w:pPr>
      <w:spacing w:before="0"/>
    </w:pPr>
    <w:rPr>
      <w:sz w:val="24"/>
      <w:szCs w:val="24"/>
    </w:rPr>
  </w:style>
  <w:style w:type="character" w:customStyle="1" w:styleId="BodyboldHTAChar">
    <w:name w:val="Body bold HTA Char"/>
    <w:basedOn w:val="Heading1HTAChar"/>
    <w:link w:val="BodyboldHTA"/>
    <w:rsid w:val="00124302"/>
    <w:rPr>
      <w:rFonts w:ascii="Arial" w:eastAsia="Batang" w:hAnsi="Arial" w:cs="Arial"/>
      <w:b/>
      <w:bCs/>
      <w:color w:val="000000" w:themeColor="text1"/>
      <w:sz w:val="24"/>
      <w:szCs w:val="24"/>
    </w:rPr>
  </w:style>
  <w:style w:type="paragraph" w:customStyle="1" w:styleId="BulletedlistHTA">
    <w:name w:val="Bulleted list HTA"/>
    <w:basedOn w:val="BodyboldHTA"/>
    <w:link w:val="BulletedlistHTAChar"/>
    <w:qFormat/>
    <w:rsid w:val="00124302"/>
    <w:pPr>
      <w:numPr>
        <w:numId w:val="1"/>
      </w:numPr>
      <w:ind w:left="714" w:hanging="357"/>
    </w:pPr>
    <w:rPr>
      <w:b w:val="0"/>
      <w:bCs w:val="0"/>
    </w:rPr>
  </w:style>
  <w:style w:type="paragraph" w:customStyle="1" w:styleId="NumberedlistHTA">
    <w:name w:val="Numbered list HTA"/>
    <w:basedOn w:val="BulletedlistHTA"/>
    <w:link w:val="NumberedlistHTAChar"/>
    <w:qFormat/>
    <w:rsid w:val="00124302"/>
    <w:pPr>
      <w:numPr>
        <w:numId w:val="2"/>
      </w:numPr>
    </w:pPr>
  </w:style>
  <w:style w:type="character" w:customStyle="1" w:styleId="BulletedlistHTAChar">
    <w:name w:val="Bulleted list HTA Char"/>
    <w:basedOn w:val="BodyboldHTAChar"/>
    <w:link w:val="BulletedlistHTA"/>
    <w:rsid w:val="00124302"/>
    <w:rPr>
      <w:rFonts w:ascii="Arial" w:eastAsia="Batang" w:hAnsi="Arial" w:cs="Arial"/>
      <w:b w:val="0"/>
      <w:bCs w:val="0"/>
      <w:color w:val="000000" w:themeColor="text1"/>
      <w:sz w:val="24"/>
      <w:szCs w:val="24"/>
    </w:rPr>
  </w:style>
  <w:style w:type="character" w:customStyle="1" w:styleId="NumberedlistHTAChar">
    <w:name w:val="Numbered list HTA Char"/>
    <w:basedOn w:val="BulletedlistHTAChar"/>
    <w:link w:val="NumberedlistHTA"/>
    <w:rsid w:val="00124302"/>
    <w:rPr>
      <w:rFonts w:ascii="Arial" w:eastAsia="Batang" w:hAnsi="Arial" w:cs="Arial"/>
      <w:b w:val="0"/>
      <w:bCs w:val="0"/>
      <w:color w:val="000000" w:themeColor="text1"/>
      <w:sz w:val="24"/>
      <w:szCs w:val="24"/>
    </w:rPr>
  </w:style>
  <w:style w:type="paragraph" w:styleId="ListParagraph">
    <w:name w:val="List Paragraph"/>
    <w:basedOn w:val="Normal"/>
    <w:uiPriority w:val="34"/>
    <w:qFormat/>
    <w:rsid w:val="006D42BA"/>
    <w:pPr>
      <w:spacing w:before="0" w:after="0" w:line="240" w:lineRule="auto"/>
      <w:ind w:left="720"/>
      <w:contextualSpacing/>
    </w:pPr>
    <w:rPr>
      <w:rFonts w:ascii="Arial" w:hAnsi="Arial" w:cs="Arial"/>
      <w:sz w:val="24"/>
      <w:szCs w:val="24"/>
      <w:lang w:eastAsia="en-GB"/>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5D0A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D0AE6"/>
  </w:style>
  <w:style w:type="character" w:customStyle="1" w:styleId="eop">
    <w:name w:val="eop"/>
    <w:basedOn w:val="DefaultParagraphFont"/>
    <w:rsid w:val="005D0AE6"/>
  </w:style>
  <w:style w:type="character" w:styleId="CommentReference">
    <w:name w:val="annotation reference"/>
    <w:basedOn w:val="DefaultParagraphFont"/>
    <w:uiPriority w:val="99"/>
    <w:semiHidden/>
    <w:unhideWhenUsed/>
    <w:rsid w:val="00BE78ED"/>
    <w:rPr>
      <w:sz w:val="16"/>
      <w:szCs w:val="16"/>
    </w:rPr>
  </w:style>
  <w:style w:type="paragraph" w:styleId="CommentText">
    <w:name w:val="annotation text"/>
    <w:basedOn w:val="Normal"/>
    <w:link w:val="CommentTextChar"/>
    <w:uiPriority w:val="99"/>
    <w:unhideWhenUsed/>
    <w:rsid w:val="00BE78ED"/>
    <w:pPr>
      <w:spacing w:line="240" w:lineRule="auto"/>
    </w:pPr>
    <w:rPr>
      <w:sz w:val="20"/>
      <w:szCs w:val="20"/>
    </w:rPr>
  </w:style>
  <w:style w:type="character" w:customStyle="1" w:styleId="CommentTextChar">
    <w:name w:val="Comment Text Char"/>
    <w:basedOn w:val="DefaultParagraphFont"/>
    <w:link w:val="CommentText"/>
    <w:uiPriority w:val="99"/>
    <w:rsid w:val="00BE78ED"/>
    <w:rPr>
      <w:sz w:val="20"/>
      <w:szCs w:val="20"/>
    </w:rPr>
  </w:style>
  <w:style w:type="paragraph" w:styleId="CommentSubject">
    <w:name w:val="annotation subject"/>
    <w:basedOn w:val="CommentText"/>
    <w:next w:val="CommentText"/>
    <w:link w:val="CommentSubjectChar"/>
    <w:uiPriority w:val="99"/>
    <w:semiHidden/>
    <w:unhideWhenUsed/>
    <w:rsid w:val="00BE78ED"/>
    <w:rPr>
      <w:b/>
      <w:bCs/>
    </w:rPr>
  </w:style>
  <w:style w:type="character" w:customStyle="1" w:styleId="CommentSubjectChar">
    <w:name w:val="Comment Subject Char"/>
    <w:basedOn w:val="CommentTextChar"/>
    <w:link w:val="CommentSubject"/>
    <w:uiPriority w:val="99"/>
    <w:semiHidden/>
    <w:rsid w:val="00BE78ED"/>
    <w:rPr>
      <w:b/>
      <w:bCs/>
      <w:sz w:val="20"/>
      <w:szCs w:val="20"/>
    </w:rPr>
  </w:style>
  <w:style w:type="character" w:styleId="UnresolvedMention">
    <w:name w:val="Unresolved Mention"/>
    <w:basedOn w:val="DefaultParagraphFont"/>
    <w:uiPriority w:val="99"/>
    <w:unhideWhenUsed/>
    <w:rsid w:val="00BE78ED"/>
    <w:rPr>
      <w:color w:val="605E5C"/>
      <w:shd w:val="clear" w:color="auto" w:fill="E1DFDD"/>
    </w:rPr>
  </w:style>
  <w:style w:type="paragraph" w:styleId="Revision">
    <w:name w:val="Revision"/>
    <w:hidden/>
    <w:uiPriority w:val="99"/>
    <w:semiHidden/>
    <w:rsid w:val="00BE78ED"/>
    <w:pPr>
      <w:spacing w:before="0" w:after="0" w:line="240" w:lineRule="auto"/>
    </w:pPr>
  </w:style>
  <w:style w:type="table" w:styleId="TableGrid">
    <w:name w:val="Table Grid"/>
    <w:basedOn w:val="TableNormal"/>
    <w:uiPriority w:val="39"/>
    <w:rsid w:val="005F628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66825"/>
    <w:rPr>
      <w:rFonts w:asciiTheme="majorHAnsi" w:eastAsiaTheme="majorEastAsia" w:hAnsiTheme="majorHAnsi" w:cstheme="majorBidi"/>
      <w:color w:val="5294AE" w:themeColor="accent1" w:themeShade="BF"/>
      <w:sz w:val="32"/>
      <w:szCs w:val="32"/>
      <w:lang w:eastAsia="en-GB"/>
    </w:rPr>
  </w:style>
  <w:style w:type="character" w:customStyle="1" w:styleId="Heading2Char">
    <w:name w:val="Heading 2 Char"/>
    <w:basedOn w:val="DefaultParagraphFont"/>
    <w:link w:val="Heading2"/>
    <w:uiPriority w:val="9"/>
    <w:rsid w:val="00466825"/>
    <w:rPr>
      <w:rFonts w:ascii="Arial" w:eastAsia="Calibri" w:hAnsi="Arial" w:cstheme="majorBidi"/>
      <w:b/>
      <w:color w:val="00908E"/>
      <w:sz w:val="24"/>
      <w:szCs w:val="26"/>
    </w:rPr>
  </w:style>
  <w:style w:type="character" w:customStyle="1" w:styleId="Heading3Char">
    <w:name w:val="Heading 3 Char"/>
    <w:basedOn w:val="DefaultParagraphFont"/>
    <w:link w:val="Heading3"/>
    <w:uiPriority w:val="9"/>
    <w:rsid w:val="00466825"/>
    <w:rPr>
      <w:rFonts w:ascii="Arial" w:eastAsiaTheme="majorEastAsia" w:hAnsi="Arial" w:cstheme="majorBidi"/>
      <w:b/>
      <w:color w:val="00908E"/>
      <w:szCs w:val="24"/>
      <w:lang w:eastAsia="en-GB"/>
    </w:rPr>
  </w:style>
  <w:style w:type="character" w:customStyle="1" w:styleId="Heading5Char">
    <w:name w:val="Heading 5 Char"/>
    <w:basedOn w:val="DefaultParagraphFont"/>
    <w:link w:val="Heading5"/>
    <w:uiPriority w:val="9"/>
    <w:rsid w:val="00466825"/>
    <w:rPr>
      <w:rFonts w:ascii="Futura Std Book" w:eastAsia="Calibri" w:hAnsi="Futura Std Book" w:cs="Times New Roman"/>
      <w:sz w:val="28"/>
      <w:szCs w:val="28"/>
    </w:rPr>
  </w:style>
  <w:style w:type="character" w:customStyle="1" w:styleId="Heading6Char">
    <w:name w:val="Heading 6 Char"/>
    <w:basedOn w:val="DefaultParagraphFont"/>
    <w:link w:val="Heading6"/>
    <w:uiPriority w:val="9"/>
    <w:rsid w:val="00466825"/>
    <w:rPr>
      <w:rFonts w:eastAsia="Times New Roman" w:cstheme="minorHAnsi"/>
      <w:szCs w:val="24"/>
      <w:lang w:eastAsia="en-GB"/>
    </w:rPr>
  </w:style>
  <w:style w:type="character" w:customStyle="1" w:styleId="Heading8Char">
    <w:name w:val="Heading 8 Char"/>
    <w:basedOn w:val="DefaultParagraphFont"/>
    <w:link w:val="Heading8"/>
    <w:uiPriority w:val="9"/>
    <w:semiHidden/>
    <w:rsid w:val="00466825"/>
    <w:rPr>
      <w:rFonts w:asciiTheme="majorHAnsi" w:eastAsiaTheme="majorEastAsia" w:hAnsiTheme="majorHAnsi" w:cstheme="majorBidi"/>
      <w:color w:val="272727" w:themeColor="text1" w:themeTint="D8"/>
      <w:sz w:val="21"/>
      <w:szCs w:val="21"/>
      <w:lang w:eastAsia="en-GB"/>
    </w:rPr>
  </w:style>
  <w:style w:type="paragraph" w:styleId="BodyText2">
    <w:name w:val="Body Text 2"/>
    <w:basedOn w:val="Normal"/>
    <w:link w:val="BodyText2Char"/>
    <w:uiPriority w:val="99"/>
    <w:unhideWhenUsed/>
    <w:rsid w:val="00466825"/>
    <w:pPr>
      <w:spacing w:before="120" w:after="120" w:line="240" w:lineRule="auto"/>
    </w:pPr>
    <w:rPr>
      <w:rFonts w:ascii="Arial" w:eastAsia="Times New Roman" w:hAnsi="Arial" w:cs="Times New Roman"/>
      <w:szCs w:val="24"/>
      <w:lang w:eastAsia="en-GB"/>
    </w:rPr>
  </w:style>
  <w:style w:type="character" w:customStyle="1" w:styleId="BodyText2Char">
    <w:name w:val="Body Text 2 Char"/>
    <w:basedOn w:val="DefaultParagraphFont"/>
    <w:link w:val="BodyText2"/>
    <w:uiPriority w:val="99"/>
    <w:rsid w:val="00466825"/>
    <w:rPr>
      <w:rFonts w:ascii="Arial" w:eastAsia="Times New Roman" w:hAnsi="Arial" w:cs="Times New Roman"/>
      <w:szCs w:val="24"/>
      <w:lang w:eastAsia="en-GB"/>
    </w:rPr>
  </w:style>
  <w:style w:type="paragraph" w:customStyle="1" w:styleId="Subheadlevel4">
    <w:name w:val="Subhead level 4"/>
    <w:basedOn w:val="Normal"/>
    <w:next w:val="Normal"/>
    <w:qFormat/>
    <w:rsid w:val="00466825"/>
    <w:pPr>
      <w:keepNext/>
      <w:spacing w:before="0" w:after="0" w:line="240" w:lineRule="auto"/>
    </w:pPr>
    <w:rPr>
      <w:rFonts w:ascii="Arial" w:eastAsia="Times New Roman" w:hAnsi="Arial" w:cs="Times New Roman"/>
      <w:b/>
      <w:szCs w:val="24"/>
      <w:lang w:eastAsia="en-GB"/>
    </w:rPr>
  </w:style>
  <w:style w:type="paragraph" w:customStyle="1" w:styleId="Sub-headings-nonumbers">
    <w:name w:val="Sub-headings - no numbers"/>
    <w:basedOn w:val="Normal"/>
    <w:qFormat/>
    <w:rsid w:val="00466825"/>
    <w:pPr>
      <w:keepNext/>
      <w:keepLines/>
      <w:spacing w:before="240" w:after="120" w:line="240" w:lineRule="auto"/>
      <w:ind w:left="2625"/>
    </w:pPr>
    <w:rPr>
      <w:rFonts w:ascii="Arial" w:eastAsia="Times New Roman" w:hAnsi="Arial" w:cs="Times New Roman"/>
      <w:b/>
      <w:color w:val="4E1965" w:themeColor="text2"/>
      <w:szCs w:val="24"/>
      <w:lang w:eastAsia="en-GB"/>
    </w:rPr>
  </w:style>
  <w:style w:type="paragraph" w:styleId="ListBullet">
    <w:name w:val="List Bullet"/>
    <w:basedOn w:val="Normal"/>
    <w:uiPriority w:val="99"/>
    <w:unhideWhenUsed/>
    <w:qFormat/>
    <w:rsid w:val="00A90D9B"/>
    <w:pPr>
      <w:numPr>
        <w:numId w:val="3"/>
      </w:numPr>
      <w:tabs>
        <w:tab w:val="left" w:pos="2977"/>
      </w:tabs>
      <w:spacing w:before="0" w:after="120" w:line="264" w:lineRule="atLeast"/>
      <w:ind w:left="0" w:firstLine="0"/>
    </w:pPr>
    <w:rPr>
      <w:rFonts w:ascii="Arial" w:eastAsia="Calibri" w:hAnsi="Arial" w:cs="Arial"/>
      <w:szCs w:val="24"/>
    </w:rPr>
  </w:style>
  <w:style w:type="paragraph" w:styleId="BalloonText">
    <w:name w:val="Balloon Text"/>
    <w:basedOn w:val="Normal"/>
    <w:link w:val="BalloonTextChar"/>
    <w:uiPriority w:val="99"/>
    <w:semiHidden/>
    <w:unhideWhenUsed/>
    <w:rsid w:val="00466825"/>
    <w:pPr>
      <w:spacing w:before="0" w:after="0" w:line="240" w:lineRule="auto"/>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466825"/>
    <w:rPr>
      <w:rFonts w:ascii="Segoe UI" w:eastAsia="Times New Roman" w:hAnsi="Segoe UI" w:cs="Segoe UI"/>
      <w:sz w:val="18"/>
      <w:szCs w:val="18"/>
      <w:lang w:eastAsia="en-GB"/>
    </w:rPr>
  </w:style>
  <w:style w:type="paragraph" w:styleId="FootnoteText">
    <w:name w:val="footnote text"/>
    <w:basedOn w:val="Normal"/>
    <w:link w:val="FootnoteTextChar"/>
    <w:semiHidden/>
    <w:rsid w:val="00466825"/>
    <w:pPr>
      <w:spacing w:before="0"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466825"/>
    <w:rPr>
      <w:rFonts w:ascii="Times New Roman" w:eastAsia="Times New Roman" w:hAnsi="Times New Roman" w:cs="Times New Roman"/>
      <w:sz w:val="20"/>
      <w:szCs w:val="20"/>
      <w:lang w:eastAsia="en-GB"/>
    </w:rPr>
  </w:style>
  <w:style w:type="character" w:styleId="FootnoteReference">
    <w:name w:val="footnote reference"/>
    <w:semiHidden/>
    <w:rsid w:val="00466825"/>
    <w:rPr>
      <w:vertAlign w:val="superscript"/>
    </w:rPr>
  </w:style>
  <w:style w:type="paragraph" w:customStyle="1" w:styleId="Bodytext-numberedparagraphs">
    <w:name w:val="Body text - numbered paragraphs"/>
    <w:basedOn w:val="Normal"/>
    <w:link w:val="Bodytext-numberedparagraphsChar"/>
    <w:rsid w:val="00466825"/>
    <w:pPr>
      <w:tabs>
        <w:tab w:val="left" w:pos="851"/>
      </w:tabs>
      <w:spacing w:before="0" w:after="120" w:line="288" w:lineRule="atLeast"/>
      <w:ind w:left="1070" w:hanging="360"/>
      <w:outlineLvl w:val="5"/>
    </w:pPr>
    <w:rPr>
      <w:rFonts w:ascii="Arial" w:eastAsia="Calibri" w:hAnsi="Arial" w:cs="Times New Roman"/>
    </w:rPr>
  </w:style>
  <w:style w:type="character" w:customStyle="1" w:styleId="Bodytext-numberedparagraphsChar">
    <w:name w:val="Body text - numbered paragraphs Char"/>
    <w:link w:val="Bodytext-numberedparagraphs"/>
    <w:rsid w:val="00466825"/>
    <w:rPr>
      <w:rFonts w:ascii="Arial" w:eastAsia="Calibri" w:hAnsi="Arial" w:cs="Times New Roman"/>
    </w:rPr>
  </w:style>
  <w:style w:type="table" w:styleId="GridTable1Light-Accent1">
    <w:name w:val="Grid Table 1 Light Accent 1"/>
    <w:basedOn w:val="TableNormal"/>
    <w:uiPriority w:val="46"/>
    <w:rsid w:val="00466825"/>
    <w:pPr>
      <w:spacing w:before="0" w:after="0" w:line="240" w:lineRule="auto"/>
    </w:pPr>
    <w:rPr>
      <w:rFonts w:ascii="Calibri" w:hAnsi="Calibri" w:cs="Times New Roman"/>
      <w:sz w:val="20"/>
      <w:szCs w:val="20"/>
    </w:rPr>
    <w:tblPr>
      <w:tblStyleRowBandSize w:val="1"/>
      <w:tblStyleColBandSize w:val="1"/>
      <w:tblBorders>
        <w:top w:val="single" w:sz="4" w:space="0" w:color="D1E2E9" w:themeColor="accent1" w:themeTint="66"/>
        <w:left w:val="single" w:sz="4" w:space="0" w:color="D1E2E9" w:themeColor="accent1" w:themeTint="66"/>
        <w:bottom w:val="single" w:sz="4" w:space="0" w:color="D1E2E9" w:themeColor="accent1" w:themeTint="66"/>
        <w:right w:val="single" w:sz="4" w:space="0" w:color="D1E2E9" w:themeColor="accent1" w:themeTint="66"/>
        <w:insideH w:val="single" w:sz="4" w:space="0" w:color="D1E2E9" w:themeColor="accent1" w:themeTint="66"/>
        <w:insideV w:val="single" w:sz="4" w:space="0" w:color="D1E2E9" w:themeColor="accent1" w:themeTint="66"/>
      </w:tblBorders>
    </w:tblPr>
    <w:tblStylePr w:type="firstRow">
      <w:rPr>
        <w:b/>
        <w:bCs/>
      </w:rPr>
      <w:tblPr/>
      <w:tcPr>
        <w:tcBorders>
          <w:bottom w:val="single" w:sz="12" w:space="0" w:color="BAD4DF" w:themeColor="accent1" w:themeTint="99"/>
        </w:tcBorders>
      </w:tcPr>
    </w:tblStylePr>
    <w:tblStylePr w:type="lastRow">
      <w:rPr>
        <w:b/>
        <w:bCs/>
      </w:rPr>
      <w:tblPr/>
      <w:tcPr>
        <w:tcBorders>
          <w:top w:val="double" w:sz="2" w:space="0" w:color="BAD4DF"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66825"/>
    <w:pPr>
      <w:spacing w:before="0" w:after="0" w:line="240" w:lineRule="auto"/>
    </w:pPr>
    <w:rPr>
      <w:rFonts w:ascii="Calibri" w:hAnsi="Calibri" w:cs="Times New Roman"/>
      <w:sz w:val="20"/>
      <w:szCs w:val="20"/>
    </w:rPr>
    <w:tblPr>
      <w:tblStyleRowBandSize w:val="1"/>
      <w:tblStyleColBandSize w:val="1"/>
      <w:tblBorders>
        <w:top w:val="single" w:sz="4" w:space="0" w:color="FFFFFF" w:themeColor="accent5" w:themeTint="66"/>
        <w:left w:val="single" w:sz="4" w:space="0" w:color="FFFFFF" w:themeColor="accent5" w:themeTint="66"/>
        <w:bottom w:val="single" w:sz="4" w:space="0" w:color="FFFFFF" w:themeColor="accent5" w:themeTint="66"/>
        <w:right w:val="single" w:sz="4" w:space="0" w:color="FFFFFF" w:themeColor="accent5" w:themeTint="66"/>
        <w:insideH w:val="single" w:sz="4" w:space="0" w:color="FFFFFF" w:themeColor="accent5" w:themeTint="66"/>
        <w:insideV w:val="single" w:sz="4" w:space="0" w:color="FFFFFF" w:themeColor="accent5" w:themeTint="66"/>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2" w:space="0" w:color="FFFFFF"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66825"/>
    <w:pPr>
      <w:spacing w:before="0" w:after="0" w:line="240" w:lineRule="auto"/>
    </w:pPr>
    <w:rPr>
      <w:rFonts w:ascii="Calibri" w:hAnsi="Calibri" w:cs="Times New Roman"/>
      <w:sz w:val="20"/>
      <w:szCs w:val="20"/>
    </w:rPr>
    <w:tblPr>
      <w:tblStyleRowBandSize w:val="1"/>
      <w:tblStyleColBandSize w:val="1"/>
      <w:tblBorders>
        <w:top w:val="single" w:sz="4" w:space="0" w:color="DFA5C2" w:themeColor="accent4" w:themeTint="66"/>
        <w:left w:val="single" w:sz="4" w:space="0" w:color="DFA5C2" w:themeColor="accent4" w:themeTint="66"/>
        <w:bottom w:val="single" w:sz="4" w:space="0" w:color="DFA5C2" w:themeColor="accent4" w:themeTint="66"/>
        <w:right w:val="single" w:sz="4" w:space="0" w:color="DFA5C2" w:themeColor="accent4" w:themeTint="66"/>
        <w:insideH w:val="single" w:sz="4" w:space="0" w:color="DFA5C2" w:themeColor="accent4" w:themeTint="66"/>
        <w:insideV w:val="single" w:sz="4" w:space="0" w:color="DFA5C2" w:themeColor="accent4" w:themeTint="66"/>
      </w:tblBorders>
    </w:tblPr>
    <w:tblStylePr w:type="firstRow">
      <w:rPr>
        <w:b/>
        <w:bCs/>
      </w:rPr>
      <w:tblPr/>
      <w:tcPr>
        <w:tcBorders>
          <w:bottom w:val="single" w:sz="12" w:space="0" w:color="D078A4" w:themeColor="accent4" w:themeTint="99"/>
        </w:tcBorders>
      </w:tcPr>
    </w:tblStylePr>
    <w:tblStylePr w:type="lastRow">
      <w:rPr>
        <w:b/>
        <w:bCs/>
      </w:rPr>
      <w:tblPr/>
      <w:tcPr>
        <w:tcBorders>
          <w:top w:val="double" w:sz="2" w:space="0" w:color="D078A4" w:themeColor="accent4" w:themeTint="99"/>
        </w:tcBorders>
      </w:tcPr>
    </w:tblStylePr>
    <w:tblStylePr w:type="firstCol">
      <w:rPr>
        <w:b/>
        <w:bCs/>
      </w:rPr>
    </w:tblStylePr>
    <w:tblStylePr w:type="lastCol">
      <w:rPr>
        <w:b/>
        <w:bCs/>
      </w:rPr>
    </w:tblStylePr>
  </w:style>
  <w:style w:type="character" w:customStyle="1" w:styleId="ui-provider">
    <w:name w:val="ui-provider"/>
    <w:basedOn w:val="DefaultParagraphFont"/>
    <w:rsid w:val="00656BF7"/>
  </w:style>
  <w:style w:type="character" w:customStyle="1" w:styleId="cf01">
    <w:name w:val="cf01"/>
    <w:basedOn w:val="DefaultParagraphFont"/>
    <w:rsid w:val="00D34388"/>
    <w:rPr>
      <w:rFonts w:ascii="Segoe UI" w:hAnsi="Segoe UI" w:cs="Segoe UI" w:hint="default"/>
      <w:sz w:val="18"/>
      <w:szCs w:val="18"/>
    </w:rPr>
  </w:style>
  <w:style w:type="table" w:customStyle="1" w:styleId="GridTable2-Accent41">
    <w:name w:val="Grid Table 2 - Accent 41"/>
    <w:basedOn w:val="TableNormal"/>
    <w:next w:val="GridTable2-Accent4"/>
    <w:uiPriority w:val="47"/>
    <w:rsid w:val="007E55D4"/>
    <w:pPr>
      <w:spacing w:before="0" w:after="0" w:line="240" w:lineRule="auto"/>
    </w:pPr>
    <w:rPr>
      <w:lang w:eastAsia="en-GB"/>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GridTable2-Accent4">
    <w:name w:val="Grid Table 2 Accent 4"/>
    <w:basedOn w:val="TableNormal"/>
    <w:uiPriority w:val="47"/>
    <w:rsid w:val="00357FBB"/>
    <w:pPr>
      <w:spacing w:after="0" w:line="240" w:lineRule="auto"/>
    </w:pPr>
    <w:tblPr>
      <w:tblStyleRowBandSize w:val="1"/>
      <w:tblStyleColBandSize w:val="1"/>
      <w:tblBorders>
        <w:top w:val="single" w:sz="2" w:space="0" w:color="D078A4" w:themeColor="accent4" w:themeTint="99"/>
        <w:bottom w:val="single" w:sz="2" w:space="0" w:color="D078A4" w:themeColor="accent4" w:themeTint="99"/>
        <w:insideH w:val="single" w:sz="2" w:space="0" w:color="D078A4" w:themeColor="accent4" w:themeTint="99"/>
        <w:insideV w:val="single" w:sz="2" w:space="0" w:color="D078A4" w:themeColor="accent4" w:themeTint="99"/>
      </w:tblBorders>
    </w:tblPr>
    <w:tblStylePr w:type="firstRow">
      <w:rPr>
        <w:b/>
        <w:bCs/>
      </w:rPr>
      <w:tblPr/>
      <w:tcPr>
        <w:tcBorders>
          <w:top w:val="nil"/>
          <w:bottom w:val="single" w:sz="12" w:space="0" w:color="D078A4" w:themeColor="accent4" w:themeTint="99"/>
          <w:insideH w:val="nil"/>
          <w:insideV w:val="nil"/>
        </w:tcBorders>
        <w:shd w:val="clear" w:color="auto" w:fill="FFFFFF" w:themeFill="background1"/>
      </w:tcPr>
    </w:tblStylePr>
    <w:tblStylePr w:type="lastRow">
      <w:rPr>
        <w:b/>
        <w:bCs/>
      </w:rPr>
      <w:tblPr/>
      <w:tcPr>
        <w:tcBorders>
          <w:top w:val="double" w:sz="2" w:space="0" w:color="D078A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D2E0" w:themeFill="accent4" w:themeFillTint="33"/>
      </w:tcPr>
    </w:tblStylePr>
    <w:tblStylePr w:type="band1Horz">
      <w:tblPr/>
      <w:tcPr>
        <w:shd w:val="clear" w:color="auto" w:fill="EFD2E0" w:themeFill="accent4" w:themeFillTint="33"/>
      </w:tcPr>
    </w:tblStylePr>
  </w:style>
  <w:style w:type="paragraph" w:styleId="NormalWeb">
    <w:name w:val="Normal (Web)"/>
    <w:basedOn w:val="Normal"/>
    <w:uiPriority w:val="99"/>
    <w:semiHidden/>
    <w:unhideWhenUsed/>
    <w:rsid w:val="00952E7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8575">
      <w:bodyDiv w:val="1"/>
      <w:marLeft w:val="0"/>
      <w:marRight w:val="0"/>
      <w:marTop w:val="0"/>
      <w:marBottom w:val="0"/>
      <w:divBdr>
        <w:top w:val="none" w:sz="0" w:space="0" w:color="auto"/>
        <w:left w:val="none" w:sz="0" w:space="0" w:color="auto"/>
        <w:bottom w:val="none" w:sz="0" w:space="0" w:color="auto"/>
        <w:right w:val="none" w:sz="0" w:space="0" w:color="auto"/>
      </w:divBdr>
    </w:div>
    <w:div w:id="105464491">
      <w:bodyDiv w:val="1"/>
      <w:marLeft w:val="0"/>
      <w:marRight w:val="0"/>
      <w:marTop w:val="0"/>
      <w:marBottom w:val="0"/>
      <w:divBdr>
        <w:top w:val="none" w:sz="0" w:space="0" w:color="auto"/>
        <w:left w:val="none" w:sz="0" w:space="0" w:color="auto"/>
        <w:bottom w:val="none" w:sz="0" w:space="0" w:color="auto"/>
        <w:right w:val="none" w:sz="0" w:space="0" w:color="auto"/>
      </w:divBdr>
    </w:div>
    <w:div w:id="282464737">
      <w:bodyDiv w:val="1"/>
      <w:marLeft w:val="0"/>
      <w:marRight w:val="0"/>
      <w:marTop w:val="0"/>
      <w:marBottom w:val="0"/>
      <w:divBdr>
        <w:top w:val="none" w:sz="0" w:space="0" w:color="auto"/>
        <w:left w:val="none" w:sz="0" w:space="0" w:color="auto"/>
        <w:bottom w:val="none" w:sz="0" w:space="0" w:color="auto"/>
        <w:right w:val="none" w:sz="0" w:space="0" w:color="auto"/>
      </w:divBdr>
    </w:div>
    <w:div w:id="305353690">
      <w:bodyDiv w:val="1"/>
      <w:marLeft w:val="0"/>
      <w:marRight w:val="0"/>
      <w:marTop w:val="0"/>
      <w:marBottom w:val="0"/>
      <w:divBdr>
        <w:top w:val="none" w:sz="0" w:space="0" w:color="auto"/>
        <w:left w:val="none" w:sz="0" w:space="0" w:color="auto"/>
        <w:bottom w:val="none" w:sz="0" w:space="0" w:color="auto"/>
        <w:right w:val="none" w:sz="0" w:space="0" w:color="auto"/>
      </w:divBdr>
      <w:divsChild>
        <w:div w:id="108353771">
          <w:marLeft w:val="274"/>
          <w:marRight w:val="0"/>
          <w:marTop w:val="0"/>
          <w:marBottom w:val="0"/>
          <w:divBdr>
            <w:top w:val="none" w:sz="0" w:space="0" w:color="auto"/>
            <w:left w:val="none" w:sz="0" w:space="0" w:color="auto"/>
            <w:bottom w:val="none" w:sz="0" w:space="0" w:color="auto"/>
            <w:right w:val="none" w:sz="0" w:space="0" w:color="auto"/>
          </w:divBdr>
        </w:div>
        <w:div w:id="149058977">
          <w:marLeft w:val="274"/>
          <w:marRight w:val="0"/>
          <w:marTop w:val="0"/>
          <w:marBottom w:val="0"/>
          <w:divBdr>
            <w:top w:val="none" w:sz="0" w:space="0" w:color="auto"/>
            <w:left w:val="none" w:sz="0" w:space="0" w:color="auto"/>
            <w:bottom w:val="none" w:sz="0" w:space="0" w:color="auto"/>
            <w:right w:val="none" w:sz="0" w:space="0" w:color="auto"/>
          </w:divBdr>
        </w:div>
        <w:div w:id="308943245">
          <w:marLeft w:val="274"/>
          <w:marRight w:val="0"/>
          <w:marTop w:val="0"/>
          <w:marBottom w:val="0"/>
          <w:divBdr>
            <w:top w:val="none" w:sz="0" w:space="0" w:color="auto"/>
            <w:left w:val="none" w:sz="0" w:space="0" w:color="auto"/>
            <w:bottom w:val="none" w:sz="0" w:space="0" w:color="auto"/>
            <w:right w:val="none" w:sz="0" w:space="0" w:color="auto"/>
          </w:divBdr>
        </w:div>
        <w:div w:id="325980240">
          <w:marLeft w:val="274"/>
          <w:marRight w:val="0"/>
          <w:marTop w:val="0"/>
          <w:marBottom w:val="0"/>
          <w:divBdr>
            <w:top w:val="none" w:sz="0" w:space="0" w:color="auto"/>
            <w:left w:val="none" w:sz="0" w:space="0" w:color="auto"/>
            <w:bottom w:val="none" w:sz="0" w:space="0" w:color="auto"/>
            <w:right w:val="none" w:sz="0" w:space="0" w:color="auto"/>
          </w:divBdr>
        </w:div>
        <w:div w:id="839003172">
          <w:marLeft w:val="274"/>
          <w:marRight w:val="0"/>
          <w:marTop w:val="0"/>
          <w:marBottom w:val="0"/>
          <w:divBdr>
            <w:top w:val="none" w:sz="0" w:space="0" w:color="auto"/>
            <w:left w:val="none" w:sz="0" w:space="0" w:color="auto"/>
            <w:bottom w:val="none" w:sz="0" w:space="0" w:color="auto"/>
            <w:right w:val="none" w:sz="0" w:space="0" w:color="auto"/>
          </w:divBdr>
        </w:div>
        <w:div w:id="1136795676">
          <w:marLeft w:val="274"/>
          <w:marRight w:val="0"/>
          <w:marTop w:val="0"/>
          <w:marBottom w:val="0"/>
          <w:divBdr>
            <w:top w:val="none" w:sz="0" w:space="0" w:color="auto"/>
            <w:left w:val="none" w:sz="0" w:space="0" w:color="auto"/>
            <w:bottom w:val="none" w:sz="0" w:space="0" w:color="auto"/>
            <w:right w:val="none" w:sz="0" w:space="0" w:color="auto"/>
          </w:divBdr>
        </w:div>
        <w:div w:id="1851137772">
          <w:marLeft w:val="274"/>
          <w:marRight w:val="0"/>
          <w:marTop w:val="0"/>
          <w:marBottom w:val="0"/>
          <w:divBdr>
            <w:top w:val="none" w:sz="0" w:space="0" w:color="auto"/>
            <w:left w:val="none" w:sz="0" w:space="0" w:color="auto"/>
            <w:bottom w:val="none" w:sz="0" w:space="0" w:color="auto"/>
            <w:right w:val="none" w:sz="0" w:space="0" w:color="auto"/>
          </w:divBdr>
        </w:div>
      </w:divsChild>
    </w:div>
    <w:div w:id="306712741">
      <w:bodyDiv w:val="1"/>
      <w:marLeft w:val="0"/>
      <w:marRight w:val="0"/>
      <w:marTop w:val="0"/>
      <w:marBottom w:val="0"/>
      <w:divBdr>
        <w:top w:val="none" w:sz="0" w:space="0" w:color="auto"/>
        <w:left w:val="none" w:sz="0" w:space="0" w:color="auto"/>
        <w:bottom w:val="none" w:sz="0" w:space="0" w:color="auto"/>
        <w:right w:val="none" w:sz="0" w:space="0" w:color="auto"/>
      </w:divBdr>
      <w:divsChild>
        <w:div w:id="658580408">
          <w:marLeft w:val="0"/>
          <w:marRight w:val="0"/>
          <w:marTop w:val="0"/>
          <w:marBottom w:val="0"/>
          <w:divBdr>
            <w:top w:val="none" w:sz="0" w:space="0" w:color="auto"/>
            <w:left w:val="none" w:sz="0" w:space="0" w:color="auto"/>
            <w:bottom w:val="none" w:sz="0" w:space="0" w:color="auto"/>
            <w:right w:val="none" w:sz="0" w:space="0" w:color="auto"/>
          </w:divBdr>
        </w:div>
        <w:div w:id="1349718768">
          <w:marLeft w:val="0"/>
          <w:marRight w:val="0"/>
          <w:marTop w:val="0"/>
          <w:marBottom w:val="0"/>
          <w:divBdr>
            <w:top w:val="none" w:sz="0" w:space="0" w:color="auto"/>
            <w:left w:val="none" w:sz="0" w:space="0" w:color="auto"/>
            <w:bottom w:val="none" w:sz="0" w:space="0" w:color="auto"/>
            <w:right w:val="none" w:sz="0" w:space="0" w:color="auto"/>
          </w:divBdr>
        </w:div>
        <w:div w:id="1912503194">
          <w:marLeft w:val="0"/>
          <w:marRight w:val="0"/>
          <w:marTop w:val="0"/>
          <w:marBottom w:val="0"/>
          <w:divBdr>
            <w:top w:val="none" w:sz="0" w:space="0" w:color="auto"/>
            <w:left w:val="none" w:sz="0" w:space="0" w:color="auto"/>
            <w:bottom w:val="none" w:sz="0" w:space="0" w:color="auto"/>
            <w:right w:val="none" w:sz="0" w:space="0" w:color="auto"/>
          </w:divBdr>
        </w:div>
        <w:div w:id="2139905940">
          <w:marLeft w:val="0"/>
          <w:marRight w:val="0"/>
          <w:marTop w:val="0"/>
          <w:marBottom w:val="0"/>
          <w:divBdr>
            <w:top w:val="none" w:sz="0" w:space="0" w:color="auto"/>
            <w:left w:val="none" w:sz="0" w:space="0" w:color="auto"/>
            <w:bottom w:val="none" w:sz="0" w:space="0" w:color="auto"/>
            <w:right w:val="none" w:sz="0" w:space="0" w:color="auto"/>
          </w:divBdr>
        </w:div>
      </w:divsChild>
    </w:div>
    <w:div w:id="499126842">
      <w:bodyDiv w:val="1"/>
      <w:marLeft w:val="0"/>
      <w:marRight w:val="0"/>
      <w:marTop w:val="0"/>
      <w:marBottom w:val="0"/>
      <w:divBdr>
        <w:top w:val="none" w:sz="0" w:space="0" w:color="auto"/>
        <w:left w:val="none" w:sz="0" w:space="0" w:color="auto"/>
        <w:bottom w:val="none" w:sz="0" w:space="0" w:color="auto"/>
        <w:right w:val="none" w:sz="0" w:space="0" w:color="auto"/>
      </w:divBdr>
    </w:div>
    <w:div w:id="586034429">
      <w:bodyDiv w:val="1"/>
      <w:marLeft w:val="0"/>
      <w:marRight w:val="0"/>
      <w:marTop w:val="0"/>
      <w:marBottom w:val="0"/>
      <w:divBdr>
        <w:top w:val="none" w:sz="0" w:space="0" w:color="auto"/>
        <w:left w:val="none" w:sz="0" w:space="0" w:color="auto"/>
        <w:bottom w:val="none" w:sz="0" w:space="0" w:color="auto"/>
        <w:right w:val="none" w:sz="0" w:space="0" w:color="auto"/>
      </w:divBdr>
    </w:div>
    <w:div w:id="731588259">
      <w:bodyDiv w:val="1"/>
      <w:marLeft w:val="0"/>
      <w:marRight w:val="0"/>
      <w:marTop w:val="0"/>
      <w:marBottom w:val="0"/>
      <w:divBdr>
        <w:top w:val="none" w:sz="0" w:space="0" w:color="auto"/>
        <w:left w:val="none" w:sz="0" w:space="0" w:color="auto"/>
        <w:bottom w:val="none" w:sz="0" w:space="0" w:color="auto"/>
        <w:right w:val="none" w:sz="0" w:space="0" w:color="auto"/>
      </w:divBdr>
    </w:div>
    <w:div w:id="756907446">
      <w:bodyDiv w:val="1"/>
      <w:marLeft w:val="0"/>
      <w:marRight w:val="0"/>
      <w:marTop w:val="0"/>
      <w:marBottom w:val="0"/>
      <w:divBdr>
        <w:top w:val="none" w:sz="0" w:space="0" w:color="auto"/>
        <w:left w:val="none" w:sz="0" w:space="0" w:color="auto"/>
        <w:bottom w:val="none" w:sz="0" w:space="0" w:color="auto"/>
        <w:right w:val="none" w:sz="0" w:space="0" w:color="auto"/>
      </w:divBdr>
      <w:divsChild>
        <w:div w:id="15861070">
          <w:marLeft w:val="274"/>
          <w:marRight w:val="0"/>
          <w:marTop w:val="0"/>
          <w:marBottom w:val="0"/>
          <w:divBdr>
            <w:top w:val="none" w:sz="0" w:space="0" w:color="auto"/>
            <w:left w:val="none" w:sz="0" w:space="0" w:color="auto"/>
            <w:bottom w:val="none" w:sz="0" w:space="0" w:color="auto"/>
            <w:right w:val="none" w:sz="0" w:space="0" w:color="auto"/>
          </w:divBdr>
        </w:div>
        <w:div w:id="38016701">
          <w:marLeft w:val="274"/>
          <w:marRight w:val="0"/>
          <w:marTop w:val="0"/>
          <w:marBottom w:val="0"/>
          <w:divBdr>
            <w:top w:val="none" w:sz="0" w:space="0" w:color="auto"/>
            <w:left w:val="none" w:sz="0" w:space="0" w:color="auto"/>
            <w:bottom w:val="none" w:sz="0" w:space="0" w:color="auto"/>
            <w:right w:val="none" w:sz="0" w:space="0" w:color="auto"/>
          </w:divBdr>
        </w:div>
        <w:div w:id="291180450">
          <w:marLeft w:val="274"/>
          <w:marRight w:val="0"/>
          <w:marTop w:val="0"/>
          <w:marBottom w:val="0"/>
          <w:divBdr>
            <w:top w:val="none" w:sz="0" w:space="0" w:color="auto"/>
            <w:left w:val="none" w:sz="0" w:space="0" w:color="auto"/>
            <w:bottom w:val="none" w:sz="0" w:space="0" w:color="auto"/>
            <w:right w:val="none" w:sz="0" w:space="0" w:color="auto"/>
          </w:divBdr>
        </w:div>
        <w:div w:id="430009382">
          <w:marLeft w:val="274"/>
          <w:marRight w:val="0"/>
          <w:marTop w:val="0"/>
          <w:marBottom w:val="0"/>
          <w:divBdr>
            <w:top w:val="none" w:sz="0" w:space="0" w:color="auto"/>
            <w:left w:val="none" w:sz="0" w:space="0" w:color="auto"/>
            <w:bottom w:val="none" w:sz="0" w:space="0" w:color="auto"/>
            <w:right w:val="none" w:sz="0" w:space="0" w:color="auto"/>
          </w:divBdr>
        </w:div>
        <w:div w:id="564294881">
          <w:marLeft w:val="274"/>
          <w:marRight w:val="0"/>
          <w:marTop w:val="0"/>
          <w:marBottom w:val="0"/>
          <w:divBdr>
            <w:top w:val="none" w:sz="0" w:space="0" w:color="auto"/>
            <w:left w:val="none" w:sz="0" w:space="0" w:color="auto"/>
            <w:bottom w:val="none" w:sz="0" w:space="0" w:color="auto"/>
            <w:right w:val="none" w:sz="0" w:space="0" w:color="auto"/>
          </w:divBdr>
        </w:div>
        <w:div w:id="869027896">
          <w:marLeft w:val="274"/>
          <w:marRight w:val="0"/>
          <w:marTop w:val="0"/>
          <w:marBottom w:val="0"/>
          <w:divBdr>
            <w:top w:val="none" w:sz="0" w:space="0" w:color="auto"/>
            <w:left w:val="none" w:sz="0" w:space="0" w:color="auto"/>
            <w:bottom w:val="none" w:sz="0" w:space="0" w:color="auto"/>
            <w:right w:val="none" w:sz="0" w:space="0" w:color="auto"/>
          </w:divBdr>
        </w:div>
        <w:div w:id="1085759362">
          <w:marLeft w:val="274"/>
          <w:marRight w:val="0"/>
          <w:marTop w:val="0"/>
          <w:marBottom w:val="0"/>
          <w:divBdr>
            <w:top w:val="none" w:sz="0" w:space="0" w:color="auto"/>
            <w:left w:val="none" w:sz="0" w:space="0" w:color="auto"/>
            <w:bottom w:val="none" w:sz="0" w:space="0" w:color="auto"/>
            <w:right w:val="none" w:sz="0" w:space="0" w:color="auto"/>
          </w:divBdr>
        </w:div>
        <w:div w:id="1087120544">
          <w:marLeft w:val="274"/>
          <w:marRight w:val="0"/>
          <w:marTop w:val="0"/>
          <w:marBottom w:val="0"/>
          <w:divBdr>
            <w:top w:val="none" w:sz="0" w:space="0" w:color="auto"/>
            <w:left w:val="none" w:sz="0" w:space="0" w:color="auto"/>
            <w:bottom w:val="none" w:sz="0" w:space="0" w:color="auto"/>
            <w:right w:val="none" w:sz="0" w:space="0" w:color="auto"/>
          </w:divBdr>
        </w:div>
        <w:div w:id="1091395850">
          <w:marLeft w:val="274"/>
          <w:marRight w:val="0"/>
          <w:marTop w:val="0"/>
          <w:marBottom w:val="0"/>
          <w:divBdr>
            <w:top w:val="none" w:sz="0" w:space="0" w:color="auto"/>
            <w:left w:val="none" w:sz="0" w:space="0" w:color="auto"/>
            <w:bottom w:val="none" w:sz="0" w:space="0" w:color="auto"/>
            <w:right w:val="none" w:sz="0" w:space="0" w:color="auto"/>
          </w:divBdr>
        </w:div>
        <w:div w:id="1092706691">
          <w:marLeft w:val="274"/>
          <w:marRight w:val="0"/>
          <w:marTop w:val="0"/>
          <w:marBottom w:val="0"/>
          <w:divBdr>
            <w:top w:val="none" w:sz="0" w:space="0" w:color="auto"/>
            <w:left w:val="none" w:sz="0" w:space="0" w:color="auto"/>
            <w:bottom w:val="none" w:sz="0" w:space="0" w:color="auto"/>
            <w:right w:val="none" w:sz="0" w:space="0" w:color="auto"/>
          </w:divBdr>
        </w:div>
        <w:div w:id="1120148276">
          <w:marLeft w:val="274"/>
          <w:marRight w:val="0"/>
          <w:marTop w:val="0"/>
          <w:marBottom w:val="0"/>
          <w:divBdr>
            <w:top w:val="none" w:sz="0" w:space="0" w:color="auto"/>
            <w:left w:val="none" w:sz="0" w:space="0" w:color="auto"/>
            <w:bottom w:val="none" w:sz="0" w:space="0" w:color="auto"/>
            <w:right w:val="none" w:sz="0" w:space="0" w:color="auto"/>
          </w:divBdr>
        </w:div>
        <w:div w:id="1704594061">
          <w:marLeft w:val="274"/>
          <w:marRight w:val="0"/>
          <w:marTop w:val="0"/>
          <w:marBottom w:val="0"/>
          <w:divBdr>
            <w:top w:val="none" w:sz="0" w:space="0" w:color="auto"/>
            <w:left w:val="none" w:sz="0" w:space="0" w:color="auto"/>
            <w:bottom w:val="none" w:sz="0" w:space="0" w:color="auto"/>
            <w:right w:val="none" w:sz="0" w:space="0" w:color="auto"/>
          </w:divBdr>
        </w:div>
        <w:div w:id="1781221502">
          <w:marLeft w:val="274"/>
          <w:marRight w:val="0"/>
          <w:marTop w:val="0"/>
          <w:marBottom w:val="0"/>
          <w:divBdr>
            <w:top w:val="none" w:sz="0" w:space="0" w:color="auto"/>
            <w:left w:val="none" w:sz="0" w:space="0" w:color="auto"/>
            <w:bottom w:val="none" w:sz="0" w:space="0" w:color="auto"/>
            <w:right w:val="none" w:sz="0" w:space="0" w:color="auto"/>
          </w:divBdr>
        </w:div>
        <w:div w:id="1922255924">
          <w:marLeft w:val="274"/>
          <w:marRight w:val="0"/>
          <w:marTop w:val="0"/>
          <w:marBottom w:val="0"/>
          <w:divBdr>
            <w:top w:val="none" w:sz="0" w:space="0" w:color="auto"/>
            <w:left w:val="none" w:sz="0" w:space="0" w:color="auto"/>
            <w:bottom w:val="none" w:sz="0" w:space="0" w:color="auto"/>
            <w:right w:val="none" w:sz="0" w:space="0" w:color="auto"/>
          </w:divBdr>
        </w:div>
        <w:div w:id="2038500199">
          <w:marLeft w:val="274"/>
          <w:marRight w:val="0"/>
          <w:marTop w:val="0"/>
          <w:marBottom w:val="0"/>
          <w:divBdr>
            <w:top w:val="none" w:sz="0" w:space="0" w:color="auto"/>
            <w:left w:val="none" w:sz="0" w:space="0" w:color="auto"/>
            <w:bottom w:val="none" w:sz="0" w:space="0" w:color="auto"/>
            <w:right w:val="none" w:sz="0" w:space="0" w:color="auto"/>
          </w:divBdr>
        </w:div>
      </w:divsChild>
    </w:div>
    <w:div w:id="805514014">
      <w:bodyDiv w:val="1"/>
      <w:marLeft w:val="0"/>
      <w:marRight w:val="0"/>
      <w:marTop w:val="0"/>
      <w:marBottom w:val="0"/>
      <w:divBdr>
        <w:top w:val="none" w:sz="0" w:space="0" w:color="auto"/>
        <w:left w:val="none" w:sz="0" w:space="0" w:color="auto"/>
        <w:bottom w:val="none" w:sz="0" w:space="0" w:color="auto"/>
        <w:right w:val="none" w:sz="0" w:space="0" w:color="auto"/>
      </w:divBdr>
    </w:div>
    <w:div w:id="846867160">
      <w:bodyDiv w:val="1"/>
      <w:marLeft w:val="0"/>
      <w:marRight w:val="0"/>
      <w:marTop w:val="0"/>
      <w:marBottom w:val="0"/>
      <w:divBdr>
        <w:top w:val="none" w:sz="0" w:space="0" w:color="auto"/>
        <w:left w:val="none" w:sz="0" w:space="0" w:color="auto"/>
        <w:bottom w:val="none" w:sz="0" w:space="0" w:color="auto"/>
        <w:right w:val="none" w:sz="0" w:space="0" w:color="auto"/>
      </w:divBdr>
      <w:divsChild>
        <w:div w:id="131607030">
          <w:marLeft w:val="274"/>
          <w:marRight w:val="0"/>
          <w:marTop w:val="0"/>
          <w:marBottom w:val="0"/>
          <w:divBdr>
            <w:top w:val="none" w:sz="0" w:space="0" w:color="auto"/>
            <w:left w:val="none" w:sz="0" w:space="0" w:color="auto"/>
            <w:bottom w:val="none" w:sz="0" w:space="0" w:color="auto"/>
            <w:right w:val="none" w:sz="0" w:space="0" w:color="auto"/>
          </w:divBdr>
        </w:div>
        <w:div w:id="133448956">
          <w:marLeft w:val="274"/>
          <w:marRight w:val="0"/>
          <w:marTop w:val="0"/>
          <w:marBottom w:val="0"/>
          <w:divBdr>
            <w:top w:val="none" w:sz="0" w:space="0" w:color="auto"/>
            <w:left w:val="none" w:sz="0" w:space="0" w:color="auto"/>
            <w:bottom w:val="none" w:sz="0" w:space="0" w:color="auto"/>
            <w:right w:val="none" w:sz="0" w:space="0" w:color="auto"/>
          </w:divBdr>
        </w:div>
        <w:div w:id="162278160">
          <w:marLeft w:val="274"/>
          <w:marRight w:val="0"/>
          <w:marTop w:val="0"/>
          <w:marBottom w:val="0"/>
          <w:divBdr>
            <w:top w:val="none" w:sz="0" w:space="0" w:color="auto"/>
            <w:left w:val="none" w:sz="0" w:space="0" w:color="auto"/>
            <w:bottom w:val="none" w:sz="0" w:space="0" w:color="auto"/>
            <w:right w:val="none" w:sz="0" w:space="0" w:color="auto"/>
          </w:divBdr>
        </w:div>
        <w:div w:id="229116906">
          <w:marLeft w:val="274"/>
          <w:marRight w:val="0"/>
          <w:marTop w:val="0"/>
          <w:marBottom w:val="0"/>
          <w:divBdr>
            <w:top w:val="none" w:sz="0" w:space="0" w:color="auto"/>
            <w:left w:val="none" w:sz="0" w:space="0" w:color="auto"/>
            <w:bottom w:val="none" w:sz="0" w:space="0" w:color="auto"/>
            <w:right w:val="none" w:sz="0" w:space="0" w:color="auto"/>
          </w:divBdr>
        </w:div>
        <w:div w:id="243728652">
          <w:marLeft w:val="274"/>
          <w:marRight w:val="0"/>
          <w:marTop w:val="0"/>
          <w:marBottom w:val="0"/>
          <w:divBdr>
            <w:top w:val="none" w:sz="0" w:space="0" w:color="auto"/>
            <w:left w:val="none" w:sz="0" w:space="0" w:color="auto"/>
            <w:bottom w:val="none" w:sz="0" w:space="0" w:color="auto"/>
            <w:right w:val="none" w:sz="0" w:space="0" w:color="auto"/>
          </w:divBdr>
        </w:div>
        <w:div w:id="500319057">
          <w:marLeft w:val="274"/>
          <w:marRight w:val="0"/>
          <w:marTop w:val="0"/>
          <w:marBottom w:val="0"/>
          <w:divBdr>
            <w:top w:val="none" w:sz="0" w:space="0" w:color="auto"/>
            <w:left w:val="none" w:sz="0" w:space="0" w:color="auto"/>
            <w:bottom w:val="none" w:sz="0" w:space="0" w:color="auto"/>
            <w:right w:val="none" w:sz="0" w:space="0" w:color="auto"/>
          </w:divBdr>
        </w:div>
        <w:div w:id="569002967">
          <w:marLeft w:val="274"/>
          <w:marRight w:val="0"/>
          <w:marTop w:val="0"/>
          <w:marBottom w:val="0"/>
          <w:divBdr>
            <w:top w:val="none" w:sz="0" w:space="0" w:color="auto"/>
            <w:left w:val="none" w:sz="0" w:space="0" w:color="auto"/>
            <w:bottom w:val="none" w:sz="0" w:space="0" w:color="auto"/>
            <w:right w:val="none" w:sz="0" w:space="0" w:color="auto"/>
          </w:divBdr>
        </w:div>
        <w:div w:id="657274399">
          <w:marLeft w:val="274"/>
          <w:marRight w:val="0"/>
          <w:marTop w:val="0"/>
          <w:marBottom w:val="0"/>
          <w:divBdr>
            <w:top w:val="none" w:sz="0" w:space="0" w:color="auto"/>
            <w:left w:val="none" w:sz="0" w:space="0" w:color="auto"/>
            <w:bottom w:val="none" w:sz="0" w:space="0" w:color="auto"/>
            <w:right w:val="none" w:sz="0" w:space="0" w:color="auto"/>
          </w:divBdr>
        </w:div>
        <w:div w:id="914322304">
          <w:marLeft w:val="274"/>
          <w:marRight w:val="0"/>
          <w:marTop w:val="0"/>
          <w:marBottom w:val="0"/>
          <w:divBdr>
            <w:top w:val="none" w:sz="0" w:space="0" w:color="auto"/>
            <w:left w:val="none" w:sz="0" w:space="0" w:color="auto"/>
            <w:bottom w:val="none" w:sz="0" w:space="0" w:color="auto"/>
            <w:right w:val="none" w:sz="0" w:space="0" w:color="auto"/>
          </w:divBdr>
        </w:div>
        <w:div w:id="949167187">
          <w:marLeft w:val="274"/>
          <w:marRight w:val="0"/>
          <w:marTop w:val="0"/>
          <w:marBottom w:val="0"/>
          <w:divBdr>
            <w:top w:val="none" w:sz="0" w:space="0" w:color="auto"/>
            <w:left w:val="none" w:sz="0" w:space="0" w:color="auto"/>
            <w:bottom w:val="none" w:sz="0" w:space="0" w:color="auto"/>
            <w:right w:val="none" w:sz="0" w:space="0" w:color="auto"/>
          </w:divBdr>
        </w:div>
        <w:div w:id="969365243">
          <w:marLeft w:val="274"/>
          <w:marRight w:val="0"/>
          <w:marTop w:val="0"/>
          <w:marBottom w:val="0"/>
          <w:divBdr>
            <w:top w:val="none" w:sz="0" w:space="0" w:color="auto"/>
            <w:left w:val="none" w:sz="0" w:space="0" w:color="auto"/>
            <w:bottom w:val="none" w:sz="0" w:space="0" w:color="auto"/>
            <w:right w:val="none" w:sz="0" w:space="0" w:color="auto"/>
          </w:divBdr>
        </w:div>
        <w:div w:id="1012415883">
          <w:marLeft w:val="274"/>
          <w:marRight w:val="0"/>
          <w:marTop w:val="0"/>
          <w:marBottom w:val="0"/>
          <w:divBdr>
            <w:top w:val="none" w:sz="0" w:space="0" w:color="auto"/>
            <w:left w:val="none" w:sz="0" w:space="0" w:color="auto"/>
            <w:bottom w:val="none" w:sz="0" w:space="0" w:color="auto"/>
            <w:right w:val="none" w:sz="0" w:space="0" w:color="auto"/>
          </w:divBdr>
        </w:div>
        <w:div w:id="1549996009">
          <w:marLeft w:val="274"/>
          <w:marRight w:val="0"/>
          <w:marTop w:val="0"/>
          <w:marBottom w:val="0"/>
          <w:divBdr>
            <w:top w:val="none" w:sz="0" w:space="0" w:color="auto"/>
            <w:left w:val="none" w:sz="0" w:space="0" w:color="auto"/>
            <w:bottom w:val="none" w:sz="0" w:space="0" w:color="auto"/>
            <w:right w:val="none" w:sz="0" w:space="0" w:color="auto"/>
          </w:divBdr>
        </w:div>
        <w:div w:id="1560744296">
          <w:marLeft w:val="274"/>
          <w:marRight w:val="0"/>
          <w:marTop w:val="0"/>
          <w:marBottom w:val="0"/>
          <w:divBdr>
            <w:top w:val="none" w:sz="0" w:space="0" w:color="auto"/>
            <w:left w:val="none" w:sz="0" w:space="0" w:color="auto"/>
            <w:bottom w:val="none" w:sz="0" w:space="0" w:color="auto"/>
            <w:right w:val="none" w:sz="0" w:space="0" w:color="auto"/>
          </w:divBdr>
        </w:div>
        <w:div w:id="1942833458">
          <w:marLeft w:val="274"/>
          <w:marRight w:val="0"/>
          <w:marTop w:val="0"/>
          <w:marBottom w:val="0"/>
          <w:divBdr>
            <w:top w:val="none" w:sz="0" w:space="0" w:color="auto"/>
            <w:left w:val="none" w:sz="0" w:space="0" w:color="auto"/>
            <w:bottom w:val="none" w:sz="0" w:space="0" w:color="auto"/>
            <w:right w:val="none" w:sz="0" w:space="0" w:color="auto"/>
          </w:divBdr>
        </w:div>
      </w:divsChild>
    </w:div>
    <w:div w:id="891503398">
      <w:bodyDiv w:val="1"/>
      <w:marLeft w:val="0"/>
      <w:marRight w:val="0"/>
      <w:marTop w:val="0"/>
      <w:marBottom w:val="0"/>
      <w:divBdr>
        <w:top w:val="none" w:sz="0" w:space="0" w:color="auto"/>
        <w:left w:val="none" w:sz="0" w:space="0" w:color="auto"/>
        <w:bottom w:val="none" w:sz="0" w:space="0" w:color="auto"/>
        <w:right w:val="none" w:sz="0" w:space="0" w:color="auto"/>
      </w:divBdr>
    </w:div>
    <w:div w:id="1007444377">
      <w:bodyDiv w:val="1"/>
      <w:marLeft w:val="0"/>
      <w:marRight w:val="0"/>
      <w:marTop w:val="0"/>
      <w:marBottom w:val="0"/>
      <w:divBdr>
        <w:top w:val="none" w:sz="0" w:space="0" w:color="auto"/>
        <w:left w:val="none" w:sz="0" w:space="0" w:color="auto"/>
        <w:bottom w:val="none" w:sz="0" w:space="0" w:color="auto"/>
        <w:right w:val="none" w:sz="0" w:space="0" w:color="auto"/>
      </w:divBdr>
    </w:div>
    <w:div w:id="1010137502">
      <w:bodyDiv w:val="1"/>
      <w:marLeft w:val="0"/>
      <w:marRight w:val="0"/>
      <w:marTop w:val="0"/>
      <w:marBottom w:val="0"/>
      <w:divBdr>
        <w:top w:val="none" w:sz="0" w:space="0" w:color="auto"/>
        <w:left w:val="none" w:sz="0" w:space="0" w:color="auto"/>
        <w:bottom w:val="none" w:sz="0" w:space="0" w:color="auto"/>
        <w:right w:val="none" w:sz="0" w:space="0" w:color="auto"/>
      </w:divBdr>
      <w:divsChild>
        <w:div w:id="453182762">
          <w:marLeft w:val="274"/>
          <w:marRight w:val="0"/>
          <w:marTop w:val="0"/>
          <w:marBottom w:val="0"/>
          <w:divBdr>
            <w:top w:val="none" w:sz="0" w:space="0" w:color="auto"/>
            <w:left w:val="none" w:sz="0" w:space="0" w:color="auto"/>
            <w:bottom w:val="none" w:sz="0" w:space="0" w:color="auto"/>
            <w:right w:val="none" w:sz="0" w:space="0" w:color="auto"/>
          </w:divBdr>
        </w:div>
        <w:div w:id="861936615">
          <w:marLeft w:val="274"/>
          <w:marRight w:val="0"/>
          <w:marTop w:val="0"/>
          <w:marBottom w:val="0"/>
          <w:divBdr>
            <w:top w:val="none" w:sz="0" w:space="0" w:color="auto"/>
            <w:left w:val="none" w:sz="0" w:space="0" w:color="auto"/>
            <w:bottom w:val="none" w:sz="0" w:space="0" w:color="auto"/>
            <w:right w:val="none" w:sz="0" w:space="0" w:color="auto"/>
          </w:divBdr>
        </w:div>
        <w:div w:id="1229613573">
          <w:marLeft w:val="274"/>
          <w:marRight w:val="0"/>
          <w:marTop w:val="0"/>
          <w:marBottom w:val="0"/>
          <w:divBdr>
            <w:top w:val="none" w:sz="0" w:space="0" w:color="auto"/>
            <w:left w:val="none" w:sz="0" w:space="0" w:color="auto"/>
            <w:bottom w:val="none" w:sz="0" w:space="0" w:color="auto"/>
            <w:right w:val="none" w:sz="0" w:space="0" w:color="auto"/>
          </w:divBdr>
        </w:div>
        <w:div w:id="1248920806">
          <w:marLeft w:val="274"/>
          <w:marRight w:val="0"/>
          <w:marTop w:val="0"/>
          <w:marBottom w:val="0"/>
          <w:divBdr>
            <w:top w:val="none" w:sz="0" w:space="0" w:color="auto"/>
            <w:left w:val="none" w:sz="0" w:space="0" w:color="auto"/>
            <w:bottom w:val="none" w:sz="0" w:space="0" w:color="auto"/>
            <w:right w:val="none" w:sz="0" w:space="0" w:color="auto"/>
          </w:divBdr>
        </w:div>
        <w:div w:id="1412242583">
          <w:marLeft w:val="274"/>
          <w:marRight w:val="0"/>
          <w:marTop w:val="0"/>
          <w:marBottom w:val="0"/>
          <w:divBdr>
            <w:top w:val="none" w:sz="0" w:space="0" w:color="auto"/>
            <w:left w:val="none" w:sz="0" w:space="0" w:color="auto"/>
            <w:bottom w:val="none" w:sz="0" w:space="0" w:color="auto"/>
            <w:right w:val="none" w:sz="0" w:space="0" w:color="auto"/>
          </w:divBdr>
        </w:div>
        <w:div w:id="1584684134">
          <w:marLeft w:val="274"/>
          <w:marRight w:val="0"/>
          <w:marTop w:val="0"/>
          <w:marBottom w:val="0"/>
          <w:divBdr>
            <w:top w:val="none" w:sz="0" w:space="0" w:color="auto"/>
            <w:left w:val="none" w:sz="0" w:space="0" w:color="auto"/>
            <w:bottom w:val="none" w:sz="0" w:space="0" w:color="auto"/>
            <w:right w:val="none" w:sz="0" w:space="0" w:color="auto"/>
          </w:divBdr>
        </w:div>
        <w:div w:id="1644430429">
          <w:marLeft w:val="274"/>
          <w:marRight w:val="0"/>
          <w:marTop w:val="0"/>
          <w:marBottom w:val="0"/>
          <w:divBdr>
            <w:top w:val="none" w:sz="0" w:space="0" w:color="auto"/>
            <w:left w:val="none" w:sz="0" w:space="0" w:color="auto"/>
            <w:bottom w:val="none" w:sz="0" w:space="0" w:color="auto"/>
            <w:right w:val="none" w:sz="0" w:space="0" w:color="auto"/>
          </w:divBdr>
        </w:div>
      </w:divsChild>
    </w:div>
    <w:div w:id="1084182726">
      <w:bodyDiv w:val="1"/>
      <w:marLeft w:val="0"/>
      <w:marRight w:val="0"/>
      <w:marTop w:val="0"/>
      <w:marBottom w:val="0"/>
      <w:divBdr>
        <w:top w:val="none" w:sz="0" w:space="0" w:color="auto"/>
        <w:left w:val="none" w:sz="0" w:space="0" w:color="auto"/>
        <w:bottom w:val="none" w:sz="0" w:space="0" w:color="auto"/>
        <w:right w:val="none" w:sz="0" w:space="0" w:color="auto"/>
      </w:divBdr>
    </w:div>
    <w:div w:id="1087069812">
      <w:bodyDiv w:val="1"/>
      <w:marLeft w:val="0"/>
      <w:marRight w:val="0"/>
      <w:marTop w:val="0"/>
      <w:marBottom w:val="0"/>
      <w:divBdr>
        <w:top w:val="none" w:sz="0" w:space="0" w:color="auto"/>
        <w:left w:val="none" w:sz="0" w:space="0" w:color="auto"/>
        <w:bottom w:val="none" w:sz="0" w:space="0" w:color="auto"/>
        <w:right w:val="none" w:sz="0" w:space="0" w:color="auto"/>
      </w:divBdr>
    </w:div>
    <w:div w:id="1351952642">
      <w:bodyDiv w:val="1"/>
      <w:marLeft w:val="0"/>
      <w:marRight w:val="0"/>
      <w:marTop w:val="0"/>
      <w:marBottom w:val="0"/>
      <w:divBdr>
        <w:top w:val="none" w:sz="0" w:space="0" w:color="auto"/>
        <w:left w:val="none" w:sz="0" w:space="0" w:color="auto"/>
        <w:bottom w:val="none" w:sz="0" w:space="0" w:color="auto"/>
        <w:right w:val="none" w:sz="0" w:space="0" w:color="auto"/>
      </w:divBdr>
      <w:divsChild>
        <w:div w:id="234248166">
          <w:marLeft w:val="274"/>
          <w:marRight w:val="0"/>
          <w:marTop w:val="0"/>
          <w:marBottom w:val="0"/>
          <w:divBdr>
            <w:top w:val="none" w:sz="0" w:space="0" w:color="auto"/>
            <w:left w:val="none" w:sz="0" w:space="0" w:color="auto"/>
            <w:bottom w:val="none" w:sz="0" w:space="0" w:color="auto"/>
            <w:right w:val="none" w:sz="0" w:space="0" w:color="auto"/>
          </w:divBdr>
        </w:div>
        <w:div w:id="271326961">
          <w:marLeft w:val="274"/>
          <w:marRight w:val="0"/>
          <w:marTop w:val="0"/>
          <w:marBottom w:val="0"/>
          <w:divBdr>
            <w:top w:val="none" w:sz="0" w:space="0" w:color="auto"/>
            <w:left w:val="none" w:sz="0" w:space="0" w:color="auto"/>
            <w:bottom w:val="none" w:sz="0" w:space="0" w:color="auto"/>
            <w:right w:val="none" w:sz="0" w:space="0" w:color="auto"/>
          </w:divBdr>
        </w:div>
        <w:div w:id="690880597">
          <w:marLeft w:val="274"/>
          <w:marRight w:val="0"/>
          <w:marTop w:val="0"/>
          <w:marBottom w:val="0"/>
          <w:divBdr>
            <w:top w:val="none" w:sz="0" w:space="0" w:color="auto"/>
            <w:left w:val="none" w:sz="0" w:space="0" w:color="auto"/>
            <w:bottom w:val="none" w:sz="0" w:space="0" w:color="auto"/>
            <w:right w:val="none" w:sz="0" w:space="0" w:color="auto"/>
          </w:divBdr>
        </w:div>
        <w:div w:id="967932519">
          <w:marLeft w:val="274"/>
          <w:marRight w:val="0"/>
          <w:marTop w:val="0"/>
          <w:marBottom w:val="0"/>
          <w:divBdr>
            <w:top w:val="none" w:sz="0" w:space="0" w:color="auto"/>
            <w:left w:val="none" w:sz="0" w:space="0" w:color="auto"/>
            <w:bottom w:val="none" w:sz="0" w:space="0" w:color="auto"/>
            <w:right w:val="none" w:sz="0" w:space="0" w:color="auto"/>
          </w:divBdr>
        </w:div>
        <w:div w:id="1747071206">
          <w:marLeft w:val="274"/>
          <w:marRight w:val="0"/>
          <w:marTop w:val="0"/>
          <w:marBottom w:val="0"/>
          <w:divBdr>
            <w:top w:val="none" w:sz="0" w:space="0" w:color="auto"/>
            <w:left w:val="none" w:sz="0" w:space="0" w:color="auto"/>
            <w:bottom w:val="none" w:sz="0" w:space="0" w:color="auto"/>
            <w:right w:val="none" w:sz="0" w:space="0" w:color="auto"/>
          </w:divBdr>
        </w:div>
        <w:div w:id="1823306588">
          <w:marLeft w:val="274"/>
          <w:marRight w:val="0"/>
          <w:marTop w:val="0"/>
          <w:marBottom w:val="0"/>
          <w:divBdr>
            <w:top w:val="none" w:sz="0" w:space="0" w:color="auto"/>
            <w:left w:val="none" w:sz="0" w:space="0" w:color="auto"/>
            <w:bottom w:val="none" w:sz="0" w:space="0" w:color="auto"/>
            <w:right w:val="none" w:sz="0" w:space="0" w:color="auto"/>
          </w:divBdr>
        </w:div>
        <w:div w:id="1920944429">
          <w:marLeft w:val="274"/>
          <w:marRight w:val="0"/>
          <w:marTop w:val="0"/>
          <w:marBottom w:val="0"/>
          <w:divBdr>
            <w:top w:val="none" w:sz="0" w:space="0" w:color="auto"/>
            <w:left w:val="none" w:sz="0" w:space="0" w:color="auto"/>
            <w:bottom w:val="none" w:sz="0" w:space="0" w:color="auto"/>
            <w:right w:val="none" w:sz="0" w:space="0" w:color="auto"/>
          </w:divBdr>
        </w:div>
      </w:divsChild>
    </w:div>
    <w:div w:id="1362703427">
      <w:bodyDiv w:val="1"/>
      <w:marLeft w:val="0"/>
      <w:marRight w:val="0"/>
      <w:marTop w:val="0"/>
      <w:marBottom w:val="0"/>
      <w:divBdr>
        <w:top w:val="none" w:sz="0" w:space="0" w:color="auto"/>
        <w:left w:val="none" w:sz="0" w:space="0" w:color="auto"/>
        <w:bottom w:val="none" w:sz="0" w:space="0" w:color="auto"/>
        <w:right w:val="none" w:sz="0" w:space="0" w:color="auto"/>
      </w:divBdr>
    </w:div>
    <w:div w:id="1530994068">
      <w:bodyDiv w:val="1"/>
      <w:marLeft w:val="0"/>
      <w:marRight w:val="0"/>
      <w:marTop w:val="0"/>
      <w:marBottom w:val="0"/>
      <w:divBdr>
        <w:top w:val="none" w:sz="0" w:space="0" w:color="auto"/>
        <w:left w:val="none" w:sz="0" w:space="0" w:color="auto"/>
        <w:bottom w:val="none" w:sz="0" w:space="0" w:color="auto"/>
        <w:right w:val="none" w:sz="0" w:space="0" w:color="auto"/>
      </w:divBdr>
      <w:divsChild>
        <w:div w:id="169680832">
          <w:marLeft w:val="0"/>
          <w:marRight w:val="0"/>
          <w:marTop w:val="0"/>
          <w:marBottom w:val="0"/>
          <w:divBdr>
            <w:top w:val="none" w:sz="0" w:space="0" w:color="auto"/>
            <w:left w:val="none" w:sz="0" w:space="0" w:color="auto"/>
            <w:bottom w:val="none" w:sz="0" w:space="0" w:color="auto"/>
            <w:right w:val="none" w:sz="0" w:space="0" w:color="auto"/>
          </w:divBdr>
        </w:div>
        <w:div w:id="280965142">
          <w:marLeft w:val="0"/>
          <w:marRight w:val="0"/>
          <w:marTop w:val="0"/>
          <w:marBottom w:val="0"/>
          <w:divBdr>
            <w:top w:val="none" w:sz="0" w:space="0" w:color="auto"/>
            <w:left w:val="none" w:sz="0" w:space="0" w:color="auto"/>
            <w:bottom w:val="none" w:sz="0" w:space="0" w:color="auto"/>
            <w:right w:val="none" w:sz="0" w:space="0" w:color="auto"/>
          </w:divBdr>
        </w:div>
        <w:div w:id="293409285">
          <w:marLeft w:val="0"/>
          <w:marRight w:val="0"/>
          <w:marTop w:val="0"/>
          <w:marBottom w:val="0"/>
          <w:divBdr>
            <w:top w:val="none" w:sz="0" w:space="0" w:color="auto"/>
            <w:left w:val="none" w:sz="0" w:space="0" w:color="auto"/>
            <w:bottom w:val="none" w:sz="0" w:space="0" w:color="auto"/>
            <w:right w:val="none" w:sz="0" w:space="0" w:color="auto"/>
          </w:divBdr>
        </w:div>
        <w:div w:id="1058019353">
          <w:marLeft w:val="0"/>
          <w:marRight w:val="0"/>
          <w:marTop w:val="0"/>
          <w:marBottom w:val="0"/>
          <w:divBdr>
            <w:top w:val="none" w:sz="0" w:space="0" w:color="auto"/>
            <w:left w:val="none" w:sz="0" w:space="0" w:color="auto"/>
            <w:bottom w:val="none" w:sz="0" w:space="0" w:color="auto"/>
            <w:right w:val="none" w:sz="0" w:space="0" w:color="auto"/>
          </w:divBdr>
        </w:div>
        <w:div w:id="1502427016">
          <w:marLeft w:val="0"/>
          <w:marRight w:val="0"/>
          <w:marTop w:val="0"/>
          <w:marBottom w:val="0"/>
          <w:divBdr>
            <w:top w:val="none" w:sz="0" w:space="0" w:color="auto"/>
            <w:left w:val="none" w:sz="0" w:space="0" w:color="auto"/>
            <w:bottom w:val="none" w:sz="0" w:space="0" w:color="auto"/>
            <w:right w:val="none" w:sz="0" w:space="0" w:color="auto"/>
          </w:divBdr>
        </w:div>
        <w:div w:id="2063016927">
          <w:marLeft w:val="0"/>
          <w:marRight w:val="0"/>
          <w:marTop w:val="0"/>
          <w:marBottom w:val="0"/>
          <w:divBdr>
            <w:top w:val="none" w:sz="0" w:space="0" w:color="auto"/>
            <w:left w:val="none" w:sz="0" w:space="0" w:color="auto"/>
            <w:bottom w:val="none" w:sz="0" w:space="0" w:color="auto"/>
            <w:right w:val="none" w:sz="0" w:space="0" w:color="auto"/>
          </w:divBdr>
        </w:div>
      </w:divsChild>
    </w:div>
    <w:div w:id="1577544366">
      <w:bodyDiv w:val="1"/>
      <w:marLeft w:val="0"/>
      <w:marRight w:val="0"/>
      <w:marTop w:val="0"/>
      <w:marBottom w:val="0"/>
      <w:divBdr>
        <w:top w:val="none" w:sz="0" w:space="0" w:color="auto"/>
        <w:left w:val="none" w:sz="0" w:space="0" w:color="auto"/>
        <w:bottom w:val="none" w:sz="0" w:space="0" w:color="auto"/>
        <w:right w:val="none" w:sz="0" w:space="0" w:color="auto"/>
      </w:divBdr>
    </w:div>
    <w:div w:id="1806967715">
      <w:bodyDiv w:val="1"/>
      <w:marLeft w:val="0"/>
      <w:marRight w:val="0"/>
      <w:marTop w:val="0"/>
      <w:marBottom w:val="0"/>
      <w:divBdr>
        <w:top w:val="none" w:sz="0" w:space="0" w:color="auto"/>
        <w:left w:val="none" w:sz="0" w:space="0" w:color="auto"/>
        <w:bottom w:val="none" w:sz="0" w:space="0" w:color="auto"/>
        <w:right w:val="none" w:sz="0" w:space="0" w:color="auto"/>
      </w:divBdr>
      <w:divsChild>
        <w:div w:id="448478806">
          <w:marLeft w:val="274"/>
          <w:marRight w:val="0"/>
          <w:marTop w:val="0"/>
          <w:marBottom w:val="0"/>
          <w:divBdr>
            <w:top w:val="none" w:sz="0" w:space="0" w:color="auto"/>
            <w:left w:val="none" w:sz="0" w:space="0" w:color="auto"/>
            <w:bottom w:val="none" w:sz="0" w:space="0" w:color="auto"/>
            <w:right w:val="none" w:sz="0" w:space="0" w:color="auto"/>
          </w:divBdr>
        </w:div>
        <w:div w:id="699089055">
          <w:marLeft w:val="274"/>
          <w:marRight w:val="0"/>
          <w:marTop w:val="0"/>
          <w:marBottom w:val="0"/>
          <w:divBdr>
            <w:top w:val="none" w:sz="0" w:space="0" w:color="auto"/>
            <w:left w:val="none" w:sz="0" w:space="0" w:color="auto"/>
            <w:bottom w:val="none" w:sz="0" w:space="0" w:color="auto"/>
            <w:right w:val="none" w:sz="0" w:space="0" w:color="auto"/>
          </w:divBdr>
        </w:div>
        <w:div w:id="997611724">
          <w:marLeft w:val="274"/>
          <w:marRight w:val="0"/>
          <w:marTop w:val="0"/>
          <w:marBottom w:val="0"/>
          <w:divBdr>
            <w:top w:val="none" w:sz="0" w:space="0" w:color="auto"/>
            <w:left w:val="none" w:sz="0" w:space="0" w:color="auto"/>
            <w:bottom w:val="none" w:sz="0" w:space="0" w:color="auto"/>
            <w:right w:val="none" w:sz="0" w:space="0" w:color="auto"/>
          </w:divBdr>
        </w:div>
        <w:div w:id="1199274272">
          <w:marLeft w:val="274"/>
          <w:marRight w:val="0"/>
          <w:marTop w:val="0"/>
          <w:marBottom w:val="0"/>
          <w:divBdr>
            <w:top w:val="none" w:sz="0" w:space="0" w:color="auto"/>
            <w:left w:val="none" w:sz="0" w:space="0" w:color="auto"/>
            <w:bottom w:val="none" w:sz="0" w:space="0" w:color="auto"/>
            <w:right w:val="none" w:sz="0" w:space="0" w:color="auto"/>
          </w:divBdr>
        </w:div>
        <w:div w:id="1288242107">
          <w:marLeft w:val="274"/>
          <w:marRight w:val="0"/>
          <w:marTop w:val="0"/>
          <w:marBottom w:val="0"/>
          <w:divBdr>
            <w:top w:val="none" w:sz="0" w:space="0" w:color="auto"/>
            <w:left w:val="none" w:sz="0" w:space="0" w:color="auto"/>
            <w:bottom w:val="none" w:sz="0" w:space="0" w:color="auto"/>
            <w:right w:val="none" w:sz="0" w:space="0" w:color="auto"/>
          </w:divBdr>
        </w:div>
        <w:div w:id="1595628179">
          <w:marLeft w:val="274"/>
          <w:marRight w:val="0"/>
          <w:marTop w:val="0"/>
          <w:marBottom w:val="0"/>
          <w:divBdr>
            <w:top w:val="none" w:sz="0" w:space="0" w:color="auto"/>
            <w:left w:val="none" w:sz="0" w:space="0" w:color="auto"/>
            <w:bottom w:val="none" w:sz="0" w:space="0" w:color="auto"/>
            <w:right w:val="none" w:sz="0" w:space="0" w:color="auto"/>
          </w:divBdr>
        </w:div>
        <w:div w:id="2073892680">
          <w:marLeft w:val="274"/>
          <w:marRight w:val="0"/>
          <w:marTop w:val="0"/>
          <w:marBottom w:val="0"/>
          <w:divBdr>
            <w:top w:val="none" w:sz="0" w:space="0" w:color="auto"/>
            <w:left w:val="none" w:sz="0" w:space="0" w:color="auto"/>
            <w:bottom w:val="none" w:sz="0" w:space="0" w:color="auto"/>
            <w:right w:val="none" w:sz="0" w:space="0" w:color="auto"/>
          </w:divBdr>
        </w:div>
      </w:divsChild>
    </w:div>
    <w:div w:id="212719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9ED927D4-6692-40CA-940A-A8BC36D60777}">
    <t:Anchor>
      <t:Comment id="674669936"/>
    </t:Anchor>
    <t:History>
      <t:Event id="{0B761988-A917-48C1-BB4C-360D7CFAE10D}" time="2023-06-16T08:10:08.774Z">
        <t:Attribution userId="S::Nicolette.Harrison@hta.gov.uk::a939c6f8-a21e-47a9-a7c1-38e6d9d93e8b" userProvider="AD" userName="Nicolette Harrison"/>
        <t:Anchor>
          <t:Comment id="674669936"/>
        </t:Anchor>
        <t:Create/>
      </t:Event>
      <t:Event id="{FFDA3950-FA4E-41C9-B0DB-AC89A51D751C}" time="2023-06-16T08:10:08.774Z">
        <t:Attribution userId="S::Nicolette.Harrison@hta.gov.uk::a939c6f8-a21e-47a9-a7c1-38e6d9d93e8b" userProvider="AD" userName="Nicolette Harrison"/>
        <t:Anchor>
          <t:Comment id="674669936"/>
        </t:Anchor>
        <t:Assign userId="S::Anne.Heaton@hta.gov.uk::00b6ed9b-90d5-497e-ac35-677873f3ccb1" userProvider="AD" userName="Anne Heaton"/>
      </t:Event>
      <t:Event id="{29510767-60AF-453E-9859-F2AA82C04CDA}" time="2023-06-16T08:10:08.774Z">
        <t:Attribution userId="S::Nicolette.Harrison@hta.gov.uk::a939c6f8-a21e-47a9-a7c1-38e6d9d93e8b" userProvider="AD" userName="Nicolette Harrison"/>
        <t:Anchor>
          <t:Comment id="674669936"/>
        </t:Anchor>
        <t:SetTitle title="@Anne Heaton - I think we should use the words in full (Learning and Development) rather than use an abbreviation, for first use at least."/>
      </t:Event>
    </t:History>
  </t:Task>
  <t:Task id="{859EC7C0-E457-4C8C-BF21-65E29F79C5AD}">
    <t:Anchor>
      <t:Comment id="674519553"/>
    </t:Anchor>
    <t:History>
      <t:Event id="{4744066D-E616-4424-8354-6C73394BDD09}" time="2023-06-14T14:23:45.079Z">
        <t:Attribution userId="S::Nicolette.Harrison@hta.gov.uk::a939c6f8-a21e-47a9-a7c1-38e6d9d93e8b" userProvider="AD" userName="Nicolette Harrison"/>
        <t:Anchor>
          <t:Comment id="674519553"/>
        </t:Anchor>
        <t:Create/>
      </t:Event>
      <t:Event id="{388984D3-6FAC-48D1-A227-403B8CFA8065}" time="2023-06-14T14:23:45.079Z">
        <t:Attribution userId="S::Nicolette.Harrison@hta.gov.uk::a939c6f8-a21e-47a9-a7c1-38e6d9d93e8b" userProvider="AD" userName="Nicolette Harrison"/>
        <t:Anchor>
          <t:Comment id="674519553"/>
        </t:Anchor>
        <t:Assign userId="S::Anne.Heaton@hta.gov.uk::00b6ed9b-90d5-497e-ac35-677873f3ccb1" userProvider="AD" userName="Anne Heaton"/>
      </t:Event>
      <t:Event id="{A28EFC69-9BD0-44F3-9073-805909C4AC79}" time="2023-06-14T14:23:45.079Z">
        <t:Attribution userId="S::Nicolette.Harrison@hta.gov.uk::a939c6f8-a21e-47a9-a7c1-38e6d9d93e8b" userProvider="AD" userName="Nicolette Harrison"/>
        <t:Anchor>
          <t:Comment id="674519553"/>
        </t:Anchor>
        <t:SetTitle title="@Anne Heaton - I think I inadvertently deleted my previous comment. Shouldn't this say 'was shared' as the papers aren't going out until next week and presumably this will be happening before then?"/>
      </t:Event>
    </t:History>
  </t:Task>
  <t:Task id="{B1FD44CA-7982-4722-B419-D3C0FAE8C16E}">
    <t:Anchor>
      <t:Comment id="674517513"/>
    </t:Anchor>
    <t:History>
      <t:Event id="{830C552A-7B00-4AD2-AD0E-BF4615C53942}" time="2023-06-14T13:49:45.5Z">
        <t:Attribution userId="S::Nicolette.Harrison@hta.gov.uk::a939c6f8-a21e-47a9-a7c1-38e6d9d93e8b" userProvider="AD" userName="Nicolette Harrison"/>
        <t:Anchor>
          <t:Comment id="674517513"/>
        </t:Anchor>
        <t:Create/>
      </t:Event>
      <t:Event id="{FE99B5E8-EF69-4806-BCFC-3FEA9D564D2F}" time="2023-06-14T13:49:45.5Z">
        <t:Attribution userId="S::Nicolette.Harrison@hta.gov.uk::a939c6f8-a21e-47a9-a7c1-38e6d9d93e8b" userProvider="AD" userName="Nicolette Harrison"/>
        <t:Anchor>
          <t:Comment id="674517513"/>
        </t:Anchor>
        <t:Assign userId="S::Jessica.Porter@hta.gov.uk::76f73f2d-4c9e-46f6-910b-635b8294bf40" userProvider="AD" userName="Jessica Porter"/>
      </t:Event>
      <t:Event id="{5AC592AA-15FD-400B-9ECE-94231094A9A7}" time="2023-06-14T13:49:45.5Z">
        <t:Attribution userId="S::Nicolette.Harrison@hta.gov.uk::a939c6f8-a21e-47a9-a7c1-38e6d9d93e8b" userProvider="AD" userName="Nicolette Harrison"/>
        <t:Anchor>
          <t:Comment id="674517513"/>
        </t:Anchor>
        <t:SetTitle title="@Jessica Porter - I am concerned this sounds as if we might be investigating our own failure - whereas we are investigating theirs… I will try to reword."/>
      </t:Event>
    </t:History>
  </t:Task>
</t:Tasks>
</file>

<file path=word/theme/theme1.xml><?xml version="1.0" encoding="utf-8"?>
<a:theme xmlns:a="http://schemas.openxmlformats.org/drawingml/2006/main" name="Office Theme">
  <a:themeElements>
    <a:clrScheme name="HTA brand colours">
      <a:dk1>
        <a:sysClr val="windowText" lastClr="000000"/>
      </a:dk1>
      <a:lt1>
        <a:sysClr val="window" lastClr="FFFFFF"/>
      </a:lt1>
      <a:dk2>
        <a:srgbClr val="4E1965"/>
      </a:dk2>
      <a:lt2>
        <a:srgbClr val="E7EAF4"/>
      </a:lt2>
      <a:accent1>
        <a:srgbClr val="8DB9CA"/>
      </a:accent1>
      <a:accent2>
        <a:srgbClr val="65AB65"/>
      </a:accent2>
      <a:accent3>
        <a:srgbClr val="F5A374"/>
      </a:accent3>
      <a:accent4>
        <a:srgbClr val="9A3668"/>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a565c07-dda8-49d0-af77-97162e211c3a">AD75TJCKWPSD-572021580-13538</_dlc_DocId>
    <_dlc_DocIdUrl xmlns="da565c07-dda8-49d0-af77-97162e211c3a">
      <Url>https://htagovuk.sharepoint.com/sites/edrms/org/_layouts/15/DocIdRedir.aspx?ID=AD75TJCKWPSD-572021580-13538</Url>
      <Description>AD75TJCKWPSD-572021580-13538</Description>
    </_dlc_DocIdUrl>
    <_dlc_DocIdPersistId xmlns="da565c07-dda8-49d0-af77-97162e211c3a">false</_dlc_DocIdPersistId>
    <TaxCatchAll xmlns="da565c07-dda8-49d0-af77-97162e211c3a" xsi:nil="true"/>
    <lcf76f155ced4ddcb4097134ff3c332f xmlns="27cc7a59-7d4d-438a-960d-763c404d23bf" xsi:nil="true"/>
    <Retention_x0020_Date xmlns="27cc7a59-7d4d-438a-960d-763c404d23bf" xsi:nil="true"/>
    <Review_x0020_Date xmlns="27cc7a59-7d4d-438a-960d-763c404d23bf" xsi:nil="true"/>
  </documentManagement>
</p:properties>
</file>

<file path=customXml/item5.xml><?xml version="1.0" encoding="utf-8"?>
<ct:contentTypeSchema xmlns:ct="http://schemas.microsoft.com/office/2006/metadata/contentType" xmlns:ma="http://schemas.microsoft.com/office/2006/metadata/properties/metaAttributes" ct:_="" ma:_="" ma:contentTypeName="Authority Paper" ma:contentTypeID="0x01010070FA452D68FE2C4C857151ED38B1EED932006C5ABE7BDC329847B730A6CF16E1B857" ma:contentTypeVersion="33" ma:contentTypeDescription="Create a new document." ma:contentTypeScope="" ma:versionID="9e7ec31bc91697a71c4ea0f8a60d644d">
  <xsd:schema xmlns:xsd="http://www.w3.org/2001/XMLSchema" xmlns:xs="http://www.w3.org/2001/XMLSchema" xmlns:p="http://schemas.microsoft.com/office/2006/metadata/properties" xmlns:ns2="27cc7a59-7d4d-438a-960d-763c404d23bf" xmlns:ns3="da565c07-dda8-49d0-af77-97162e211c3a" targetNamespace="http://schemas.microsoft.com/office/2006/metadata/properties" ma:root="true" ma:fieldsID="42291bf3e42421e82d9abc7cedf43ea2" ns2:_="" ns3:_="">
    <xsd:import namespace="27cc7a59-7d4d-438a-960d-763c404d23bf"/>
    <xsd:import namespace="da565c07-dda8-49d0-af77-97162e211c3a"/>
    <xsd:element name="properties">
      <xsd:complexType>
        <xsd:sequence>
          <xsd:element name="documentManagement">
            <xsd:complexType>
              <xsd:all>
                <xsd:element ref="ns2:Retention_x0020_Date" minOccurs="0"/>
                <xsd:element ref="ns2:Review_x0020_Date" minOccurs="0"/>
                <xsd:element ref="ns3:_dlc_DocId" minOccurs="0"/>
                <xsd:element ref="ns3:_dlc_DocIdUrl" minOccurs="0"/>
                <xsd:element ref="ns3:_dlc_DocIdPersistId"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c7a59-7d4d-438a-960d-763c404d23bf" elementFormDefault="qualified">
    <xsd:import namespace="http://schemas.microsoft.com/office/2006/documentManagement/types"/>
    <xsd:import namespace="http://schemas.microsoft.com/office/infopath/2007/PartnerControls"/>
    <xsd:element name="Retention_x0020_Date" ma:index="8" nillable="true" ma:displayName="Retention Date" ma:format="DateOnly" ma:indexed="true" ma:internalName="Retention_x0020_Date" ma:readOnly="false">
      <xsd:simpleType>
        <xsd:restriction base="dms:DateTime"/>
      </xsd:simpleType>
    </xsd:element>
    <xsd:element name="Review_x0020_Date" ma:index="9" nillable="true" ma:displayName="Review Date" ma:format="DateOnly" ma:indexed="true" ma:internalName="Review_x0020_Date" ma:readOnly="false">
      <xsd:simpleType>
        <xsd:restriction base="dms:DateTime"/>
      </xsd:simpleType>
    </xsd:element>
    <xsd:element name="lcf76f155ced4ddcb4097134ff3c332f" ma:index="13"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b4c0c78b-c6d0-4b1a-87e0-48bd1bc7d029}" ma:internalName="TaxCatchAll" ma:showField="CatchAllData" ma:web="da565c07-dda8-49d0-af77-97162e211c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FEC2B6-87C1-49D2-A1BD-6263C1E92813}">
  <ds:schemaRefs>
    <ds:schemaRef ds:uri="http://schemas.microsoft.com/sharepoint/v3/contenttype/forms"/>
  </ds:schemaRefs>
</ds:datastoreItem>
</file>

<file path=customXml/itemProps2.xml><?xml version="1.0" encoding="utf-8"?>
<ds:datastoreItem xmlns:ds="http://schemas.openxmlformats.org/officeDocument/2006/customXml" ds:itemID="{5F3CFAD6-D22A-4472-8693-A7FCCA4B360D}">
  <ds:schemaRefs>
    <ds:schemaRef ds:uri="http://schemas.openxmlformats.org/officeDocument/2006/bibliography"/>
  </ds:schemaRefs>
</ds:datastoreItem>
</file>

<file path=customXml/itemProps3.xml><?xml version="1.0" encoding="utf-8"?>
<ds:datastoreItem xmlns:ds="http://schemas.openxmlformats.org/officeDocument/2006/customXml" ds:itemID="{32809EDB-0345-4AF7-BAAE-ACE6401AE791}">
  <ds:schemaRefs>
    <ds:schemaRef ds:uri="http://schemas.microsoft.com/sharepoint/events"/>
  </ds:schemaRefs>
</ds:datastoreItem>
</file>

<file path=customXml/itemProps4.xml><?xml version="1.0" encoding="utf-8"?>
<ds:datastoreItem xmlns:ds="http://schemas.openxmlformats.org/officeDocument/2006/customXml" ds:itemID="{1F7CDAE7-0062-472C-9660-92422508A5E0}">
  <ds:schemaRefs>
    <ds:schemaRef ds:uri="http://schemas.microsoft.com/office/2006/metadata/properties"/>
    <ds:schemaRef ds:uri="http://schemas.microsoft.com/office/infopath/2007/PartnerControls"/>
    <ds:schemaRef ds:uri="da565c07-dda8-49d0-af77-97162e211c3a"/>
    <ds:schemaRef ds:uri="27cc7a59-7d4d-438a-960d-763c404d23bf"/>
  </ds:schemaRefs>
</ds:datastoreItem>
</file>

<file path=customXml/itemProps5.xml><?xml version="1.0" encoding="utf-8"?>
<ds:datastoreItem xmlns:ds="http://schemas.openxmlformats.org/officeDocument/2006/customXml" ds:itemID="{77F5D568-1693-4F33-B4F4-455E522E4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c7a59-7d4d-438a-960d-763c404d23bf"/>
    <ds:schemaRef ds:uri="da565c07-dda8-49d0-af77-97162e211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6866</Words>
  <Characters>39140</Characters>
  <Application>Microsoft Office Word</Application>
  <DocSecurity>0</DocSecurity>
  <Lines>326</Lines>
  <Paragraphs>91</Paragraphs>
  <ScaleCrop>false</ScaleCrop>
  <Company/>
  <LinksUpToDate>false</LinksUpToDate>
  <CharactersWithSpaces>45915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Harris</dc:creator>
  <cp:keywords/>
  <dc:description/>
  <cp:lastModifiedBy>Jonathan Spencer</cp:lastModifiedBy>
  <cp:revision>65</cp:revision>
  <cp:lastPrinted>2023-06-19T19:22:00Z</cp:lastPrinted>
  <dcterms:created xsi:type="dcterms:W3CDTF">2023-06-23T10:01:00Z</dcterms:created>
  <dcterms:modified xsi:type="dcterms:W3CDTF">2023-06-23T10:56:00Z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0x01010070FA452D68FE2C4C857151ED38B1EED932006C5ABE7BDC329847B730A6CF16E1B857</vt:lpwstr>
  </property>
  <property fmtid="{D5CDD505-2E9C-101B-9397-08002B2CF9AE}" pid="3" name="_dlc_DocIdItemGuid">
    <vt:lpwstr>f238ae04-e98a-46af-8386-87fee323ab3d</vt:lpwstr>
  </property>
  <property fmtid="{D5CDD505-2E9C-101B-9397-08002B2CF9AE}" pid="4" name="Order">
    <vt:r8>3608300</vt:r8>
  </property>
  <property fmtid="{D5CDD505-2E9C-101B-9397-08002B2CF9AE}" pid="5" name="URL">
    <vt:lpwstr>, </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